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3F9557" w14:textId="77777777" w:rsidR="004A45BC" w:rsidRPr="00020282" w:rsidRDefault="00020282" w:rsidP="00020282">
      <w:r>
        <w:tab/>
      </w:r>
    </w:p>
    <w:tbl>
      <w:tblPr>
        <w:tblStyle w:val="TabloKlavuzu"/>
        <w:tblW w:w="5044" w:type="pct"/>
        <w:tblInd w:w="-5" w:type="dxa"/>
        <w:tblLook w:val="04A0" w:firstRow="1" w:lastRow="0" w:firstColumn="1" w:lastColumn="0" w:noHBand="0" w:noVBand="1"/>
      </w:tblPr>
      <w:tblGrid>
        <w:gridCol w:w="11199"/>
      </w:tblGrid>
      <w:tr w:rsidR="004A45BC" w:rsidRPr="004A45BC" w14:paraId="0C9D4438" w14:textId="77777777" w:rsidTr="00A71C14">
        <w:trPr>
          <w:trHeight w:val="10964"/>
        </w:trPr>
        <w:tc>
          <w:tcPr>
            <w:tcW w:w="5000" w:type="pct"/>
            <w:tcBorders>
              <w:top w:val="single" w:sz="4" w:space="0" w:color="auto"/>
              <w:left w:val="single" w:sz="4" w:space="0" w:color="auto"/>
              <w:bottom w:val="single" w:sz="4" w:space="0" w:color="auto"/>
              <w:right w:val="single" w:sz="4" w:space="0" w:color="auto"/>
            </w:tcBorders>
          </w:tcPr>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169"/>
              <w:gridCol w:w="8798"/>
            </w:tblGrid>
            <w:tr w:rsidR="004A45BC" w:rsidRPr="004A45BC" w14:paraId="41F62537" w14:textId="77777777" w:rsidTr="00A71C14">
              <w:tc>
                <w:tcPr>
                  <w:tcW w:w="852" w:type="pct"/>
                  <w:tcBorders>
                    <w:top w:val="outset" w:sz="6" w:space="0" w:color="auto"/>
                    <w:left w:val="outset" w:sz="6" w:space="0" w:color="auto"/>
                    <w:bottom w:val="outset" w:sz="6" w:space="0" w:color="auto"/>
                    <w:right w:val="outset" w:sz="6" w:space="0" w:color="auto"/>
                  </w:tcBorders>
                  <w:vAlign w:val="center"/>
                  <w:hideMark/>
                </w:tcPr>
                <w:p w14:paraId="30511036" w14:textId="77777777" w:rsidR="004A45BC" w:rsidRPr="004A45BC" w:rsidRDefault="004A45BC" w:rsidP="004A45BC">
                  <w:pPr>
                    <w:rPr>
                      <w:b/>
                      <w:bCs/>
                    </w:rPr>
                  </w:pPr>
                  <w:r w:rsidRPr="004A45BC">
                    <w:rPr>
                      <w:b/>
                      <w:bCs/>
                    </w:rPr>
                    <w:t xml:space="preserve">PROJE NO: </w:t>
                  </w:r>
                </w:p>
              </w:tc>
              <w:tc>
                <w:tcPr>
                  <w:tcW w:w="4148" w:type="pct"/>
                  <w:tcBorders>
                    <w:top w:val="outset" w:sz="6" w:space="0" w:color="auto"/>
                    <w:left w:val="outset" w:sz="6" w:space="0" w:color="auto"/>
                    <w:bottom w:val="outset" w:sz="6" w:space="0" w:color="auto"/>
                    <w:right w:val="outset" w:sz="6" w:space="0" w:color="auto"/>
                  </w:tcBorders>
                  <w:vAlign w:val="center"/>
                </w:tcPr>
                <w:p w14:paraId="30E7A6C8" w14:textId="77777777" w:rsidR="004A45BC" w:rsidRPr="004A45BC" w:rsidRDefault="004A45BC" w:rsidP="004A45BC">
                  <w:pPr>
                    <w:rPr>
                      <w:b/>
                      <w:bCs/>
                    </w:rPr>
                  </w:pPr>
                </w:p>
              </w:tc>
            </w:tr>
            <w:tr w:rsidR="004A45BC" w:rsidRPr="004A45BC" w14:paraId="75D3D2DA" w14:textId="77777777" w:rsidTr="00A71C14">
              <w:tc>
                <w:tcPr>
                  <w:tcW w:w="852" w:type="pct"/>
                  <w:tcBorders>
                    <w:top w:val="outset" w:sz="6" w:space="0" w:color="auto"/>
                    <w:left w:val="outset" w:sz="6" w:space="0" w:color="auto"/>
                    <w:bottom w:val="outset" w:sz="6" w:space="0" w:color="auto"/>
                    <w:right w:val="outset" w:sz="6" w:space="0" w:color="auto"/>
                  </w:tcBorders>
                  <w:vAlign w:val="center"/>
                  <w:hideMark/>
                </w:tcPr>
                <w:p w14:paraId="1AFE91AA" w14:textId="77777777" w:rsidR="004A45BC" w:rsidRPr="004A45BC" w:rsidRDefault="004A45BC" w:rsidP="004A45BC">
                  <w:pPr>
                    <w:rPr>
                      <w:b/>
                      <w:bCs/>
                    </w:rPr>
                  </w:pPr>
                  <w:r w:rsidRPr="004A45BC">
                    <w:rPr>
                      <w:b/>
                      <w:bCs/>
                    </w:rPr>
                    <w:t xml:space="preserve">PROJE TÜRÜ: </w:t>
                  </w:r>
                </w:p>
              </w:tc>
              <w:tc>
                <w:tcPr>
                  <w:tcW w:w="4148" w:type="pct"/>
                  <w:tcBorders>
                    <w:top w:val="outset" w:sz="6" w:space="0" w:color="auto"/>
                    <w:left w:val="outset" w:sz="6" w:space="0" w:color="auto"/>
                    <w:bottom w:val="outset" w:sz="6" w:space="0" w:color="auto"/>
                    <w:right w:val="outset" w:sz="6" w:space="0" w:color="auto"/>
                  </w:tcBorders>
                  <w:vAlign w:val="center"/>
                </w:tcPr>
                <w:p w14:paraId="3326E2B4" w14:textId="77777777" w:rsidR="004A45BC" w:rsidRPr="004A45BC" w:rsidRDefault="004A45BC" w:rsidP="004A45BC">
                  <w:pPr>
                    <w:rPr>
                      <w:b/>
                      <w:bCs/>
                    </w:rPr>
                  </w:pPr>
                </w:p>
              </w:tc>
            </w:tr>
            <w:tr w:rsidR="004A45BC" w:rsidRPr="004A45BC" w14:paraId="775F6E1E" w14:textId="77777777" w:rsidTr="00A71C14">
              <w:tc>
                <w:tcPr>
                  <w:tcW w:w="852" w:type="pct"/>
                  <w:tcBorders>
                    <w:top w:val="outset" w:sz="6" w:space="0" w:color="auto"/>
                    <w:left w:val="outset" w:sz="6" w:space="0" w:color="auto"/>
                    <w:bottom w:val="outset" w:sz="6" w:space="0" w:color="auto"/>
                    <w:right w:val="outset" w:sz="6" w:space="0" w:color="auto"/>
                  </w:tcBorders>
                  <w:vAlign w:val="center"/>
                  <w:hideMark/>
                </w:tcPr>
                <w:p w14:paraId="5A4CEFA0" w14:textId="77777777" w:rsidR="004A45BC" w:rsidRPr="004A45BC" w:rsidRDefault="004A45BC" w:rsidP="004A45BC">
                  <w:pPr>
                    <w:rPr>
                      <w:b/>
                      <w:bCs/>
                    </w:rPr>
                  </w:pPr>
                  <w:r w:rsidRPr="004A45BC">
                    <w:rPr>
                      <w:b/>
                      <w:bCs/>
                    </w:rPr>
                    <w:t xml:space="preserve">PROJE ADI: </w:t>
                  </w:r>
                </w:p>
              </w:tc>
              <w:tc>
                <w:tcPr>
                  <w:tcW w:w="4148" w:type="pct"/>
                  <w:tcBorders>
                    <w:top w:val="outset" w:sz="6" w:space="0" w:color="auto"/>
                    <w:left w:val="outset" w:sz="6" w:space="0" w:color="auto"/>
                    <w:bottom w:val="outset" w:sz="6" w:space="0" w:color="auto"/>
                    <w:right w:val="outset" w:sz="6" w:space="0" w:color="auto"/>
                  </w:tcBorders>
                  <w:vAlign w:val="center"/>
                </w:tcPr>
                <w:p w14:paraId="5491C5D5" w14:textId="77777777" w:rsidR="004A45BC" w:rsidRPr="004A45BC" w:rsidRDefault="004A45BC" w:rsidP="004A45BC">
                  <w:pPr>
                    <w:rPr>
                      <w:b/>
                      <w:bCs/>
                    </w:rPr>
                  </w:pPr>
                </w:p>
              </w:tc>
            </w:tr>
            <w:tr w:rsidR="004A45BC" w:rsidRPr="004A45BC" w14:paraId="72A87B3F" w14:textId="77777777" w:rsidTr="00A71C14">
              <w:tc>
                <w:tcPr>
                  <w:tcW w:w="852" w:type="pct"/>
                  <w:tcBorders>
                    <w:top w:val="outset" w:sz="6" w:space="0" w:color="auto"/>
                    <w:left w:val="outset" w:sz="6" w:space="0" w:color="auto"/>
                    <w:bottom w:val="outset" w:sz="6" w:space="0" w:color="auto"/>
                    <w:right w:val="outset" w:sz="6" w:space="0" w:color="auto"/>
                  </w:tcBorders>
                  <w:vAlign w:val="center"/>
                  <w:hideMark/>
                </w:tcPr>
                <w:p w14:paraId="23106AC3" w14:textId="77777777" w:rsidR="004A45BC" w:rsidRPr="004A45BC" w:rsidRDefault="004A45BC" w:rsidP="004A45BC">
                  <w:pPr>
                    <w:rPr>
                      <w:b/>
                      <w:bCs/>
                    </w:rPr>
                  </w:pPr>
                  <w:r w:rsidRPr="004A45BC">
                    <w:rPr>
                      <w:b/>
                      <w:bCs/>
                    </w:rPr>
                    <w:t xml:space="preserve">PROJE SÜRESİ: </w:t>
                  </w:r>
                </w:p>
              </w:tc>
              <w:tc>
                <w:tcPr>
                  <w:tcW w:w="4148" w:type="pct"/>
                  <w:tcBorders>
                    <w:top w:val="outset" w:sz="6" w:space="0" w:color="auto"/>
                    <w:left w:val="outset" w:sz="6" w:space="0" w:color="auto"/>
                    <w:bottom w:val="outset" w:sz="6" w:space="0" w:color="auto"/>
                    <w:right w:val="outset" w:sz="6" w:space="0" w:color="auto"/>
                  </w:tcBorders>
                  <w:vAlign w:val="center"/>
                </w:tcPr>
                <w:p w14:paraId="47DC8A0A" w14:textId="77777777" w:rsidR="004A45BC" w:rsidRPr="004A45BC" w:rsidRDefault="004A45BC" w:rsidP="004A45BC">
                  <w:pPr>
                    <w:rPr>
                      <w:b/>
                      <w:bCs/>
                    </w:rPr>
                  </w:pPr>
                </w:p>
              </w:tc>
            </w:tr>
            <w:tr w:rsidR="004A45BC" w:rsidRPr="004A45BC" w14:paraId="1AC71C3A" w14:textId="77777777" w:rsidTr="00A71C14">
              <w:tc>
                <w:tcPr>
                  <w:tcW w:w="852" w:type="pct"/>
                  <w:tcBorders>
                    <w:top w:val="outset" w:sz="6" w:space="0" w:color="auto"/>
                    <w:left w:val="outset" w:sz="6" w:space="0" w:color="auto"/>
                    <w:bottom w:val="outset" w:sz="6" w:space="0" w:color="auto"/>
                    <w:right w:val="outset" w:sz="6" w:space="0" w:color="auto"/>
                  </w:tcBorders>
                  <w:vAlign w:val="center"/>
                  <w:hideMark/>
                </w:tcPr>
                <w:p w14:paraId="448D0304" w14:textId="77777777" w:rsidR="004A45BC" w:rsidRPr="004A45BC" w:rsidRDefault="004A45BC" w:rsidP="004A45BC">
                  <w:pPr>
                    <w:rPr>
                      <w:b/>
                      <w:bCs/>
                    </w:rPr>
                  </w:pPr>
                  <w:r w:rsidRPr="004A45BC">
                    <w:rPr>
                      <w:b/>
                      <w:bCs/>
                    </w:rPr>
                    <w:t xml:space="preserve">PROJE YÜRÜTÜCÜSÜ: </w:t>
                  </w:r>
                </w:p>
              </w:tc>
              <w:tc>
                <w:tcPr>
                  <w:tcW w:w="4148" w:type="pct"/>
                  <w:tcBorders>
                    <w:top w:val="outset" w:sz="6" w:space="0" w:color="auto"/>
                    <w:left w:val="outset" w:sz="6" w:space="0" w:color="auto"/>
                    <w:bottom w:val="outset" w:sz="6" w:space="0" w:color="auto"/>
                    <w:right w:val="outset" w:sz="6" w:space="0" w:color="auto"/>
                  </w:tcBorders>
                  <w:vAlign w:val="center"/>
                </w:tcPr>
                <w:p w14:paraId="70B99647" w14:textId="77777777" w:rsidR="004A45BC" w:rsidRPr="004A45BC" w:rsidRDefault="004A45BC" w:rsidP="004A45BC">
                  <w:pPr>
                    <w:rPr>
                      <w:b/>
                      <w:bCs/>
                    </w:rPr>
                  </w:pPr>
                </w:p>
              </w:tc>
            </w:tr>
            <w:tr w:rsidR="004A45BC" w:rsidRPr="004A45BC" w14:paraId="4665D1C0" w14:textId="77777777" w:rsidTr="00A71C14">
              <w:tc>
                <w:tcPr>
                  <w:tcW w:w="852" w:type="pct"/>
                  <w:tcBorders>
                    <w:top w:val="outset" w:sz="6" w:space="0" w:color="auto"/>
                    <w:left w:val="outset" w:sz="6" w:space="0" w:color="auto"/>
                    <w:bottom w:val="outset" w:sz="6" w:space="0" w:color="auto"/>
                    <w:right w:val="outset" w:sz="6" w:space="0" w:color="auto"/>
                  </w:tcBorders>
                  <w:vAlign w:val="center"/>
                  <w:hideMark/>
                </w:tcPr>
                <w:p w14:paraId="6392AF6A" w14:textId="77777777" w:rsidR="004A45BC" w:rsidRPr="004A45BC" w:rsidRDefault="004A45BC" w:rsidP="004A45BC">
                  <w:pPr>
                    <w:rPr>
                      <w:b/>
                      <w:bCs/>
                    </w:rPr>
                  </w:pPr>
                  <w:r w:rsidRPr="004A45BC">
                    <w:rPr>
                      <w:b/>
                      <w:bCs/>
                    </w:rPr>
                    <w:t xml:space="preserve">ARAŞTIRMACILAR: </w:t>
                  </w:r>
                </w:p>
              </w:tc>
              <w:tc>
                <w:tcPr>
                  <w:tcW w:w="4148" w:type="pct"/>
                  <w:tcBorders>
                    <w:top w:val="outset" w:sz="6" w:space="0" w:color="auto"/>
                    <w:left w:val="outset" w:sz="6" w:space="0" w:color="auto"/>
                    <w:bottom w:val="outset" w:sz="6" w:space="0" w:color="auto"/>
                    <w:right w:val="outset" w:sz="6" w:space="0" w:color="auto"/>
                  </w:tcBorders>
                  <w:vAlign w:val="center"/>
                </w:tcPr>
                <w:p w14:paraId="0D606741" w14:textId="77777777" w:rsidR="004A45BC" w:rsidRPr="004A45BC" w:rsidRDefault="004A45BC" w:rsidP="004A45BC">
                  <w:pPr>
                    <w:rPr>
                      <w:b/>
                      <w:bCs/>
                    </w:rPr>
                  </w:pPr>
                </w:p>
              </w:tc>
            </w:tr>
          </w:tbl>
          <w:p w14:paraId="4B2C81E0" w14:textId="77777777" w:rsidR="004A45BC" w:rsidRPr="004A45BC" w:rsidRDefault="004A45BC" w:rsidP="004A45BC">
            <w:pPr>
              <w:widowControl w:val="0"/>
              <w:autoSpaceDE w:val="0"/>
              <w:autoSpaceDN w:val="0"/>
              <w:rPr>
                <w:vanish/>
              </w:rPr>
            </w:pPr>
          </w:p>
          <w:tbl>
            <w:tblPr>
              <w:tblW w:w="5000" w:type="pct"/>
              <w:tblCellMar>
                <w:top w:w="15" w:type="dxa"/>
                <w:left w:w="15" w:type="dxa"/>
                <w:bottom w:w="15" w:type="dxa"/>
                <w:right w:w="15" w:type="dxa"/>
              </w:tblCellMar>
              <w:tblLook w:val="04A0" w:firstRow="1" w:lastRow="0" w:firstColumn="1" w:lastColumn="0" w:noHBand="0" w:noVBand="1"/>
            </w:tblPr>
            <w:tblGrid>
              <w:gridCol w:w="10983"/>
            </w:tblGrid>
            <w:tr w:rsidR="004A45BC" w:rsidRPr="004A45BC" w14:paraId="38B6258E" w14:textId="77777777" w:rsidTr="00A71C14">
              <w:tc>
                <w:tcPr>
                  <w:tcW w:w="0" w:type="auto"/>
                  <w:hideMark/>
                </w:tcPr>
                <w:p w14:paraId="057F4106" w14:textId="77777777" w:rsidR="004A45BC" w:rsidRPr="004A45BC" w:rsidRDefault="004A45BC" w:rsidP="004A45BC">
                  <w:pPr>
                    <w:rPr>
                      <w:b/>
                      <w:bCs/>
                      <w:u w:val="single"/>
                    </w:rPr>
                  </w:pPr>
                  <w:r w:rsidRPr="004A45BC">
                    <w:rPr>
                      <w:b/>
                      <w:bCs/>
                      <w:u w:val="single"/>
                    </w:rPr>
                    <w:t>MADDE 1 - Taraflar</w:t>
                  </w:r>
                </w:p>
                <w:p w14:paraId="7DEE4410" w14:textId="77777777" w:rsidR="004A45BC" w:rsidRPr="004A45BC" w:rsidRDefault="004A45BC" w:rsidP="004A45BC">
                  <w:r w:rsidRPr="004A45BC">
                    <w:t>Yükseköğretim Kurulu Başkanlığı tarafından 2018 yılında Bölgesel Kalkınma Odaklı Misyon Farklılaşması ve İhtisaslaşma Projesine dahil edilmesiyle kurulan Aksaray Üniversitesi Spor ve Sağlık Alanında İhtisaslaşma Koordinatörlüğü İta Amiri (Rektör)</w:t>
                  </w:r>
                  <w:proofErr w:type="gramStart"/>
                  <w:r w:rsidRPr="004A45BC">
                    <w:t>…………………………..</w:t>
                  </w:r>
                  <w:proofErr w:type="gramEnd"/>
                  <w:r w:rsidRPr="004A45BC">
                    <w:t xml:space="preserve"> ile Proje Yürütücüsü </w:t>
                  </w:r>
                  <w:proofErr w:type="gramStart"/>
                  <w:r w:rsidRPr="004A45BC">
                    <w:t>…………………..</w:t>
                  </w:r>
                  <w:proofErr w:type="gramEnd"/>
                  <w:r w:rsidRPr="004A45BC">
                    <w:t xml:space="preserve">arasında aşağıdaki şartlarla bir </w:t>
                  </w:r>
                  <w:r w:rsidRPr="004A45BC">
                    <w:rPr>
                      <w:b/>
                      <w:bCs/>
                    </w:rPr>
                    <w:t>Spor ve Sağlık Alanında İhtisaslaşma Koordinatörlüğü Projeleri</w:t>
                  </w:r>
                  <w:r w:rsidRPr="004A45BC">
                    <w:t xml:space="preserve"> projesi protokolü yapılmıştır.</w:t>
                  </w:r>
                </w:p>
              </w:tc>
            </w:tr>
            <w:tr w:rsidR="004A45BC" w:rsidRPr="004A45BC" w14:paraId="418986CC" w14:textId="77777777" w:rsidTr="00A71C14">
              <w:tc>
                <w:tcPr>
                  <w:tcW w:w="0" w:type="auto"/>
                  <w:hideMark/>
                </w:tcPr>
                <w:p w14:paraId="3ECB8949" w14:textId="77777777" w:rsidR="004A45BC" w:rsidRPr="004A45BC" w:rsidRDefault="004A45BC" w:rsidP="004A45BC">
                  <w:pPr>
                    <w:rPr>
                      <w:b/>
                      <w:bCs/>
                      <w:u w:val="single"/>
                    </w:rPr>
                  </w:pPr>
                  <w:r w:rsidRPr="004A45BC">
                    <w:rPr>
                      <w:b/>
                      <w:bCs/>
                      <w:u w:val="single"/>
                    </w:rPr>
                    <w:t>MADDE 2 - Proje Yürütücüsünün Görevleri</w:t>
                  </w:r>
                </w:p>
                <w:p w14:paraId="215E810D" w14:textId="77777777" w:rsidR="004A45BC" w:rsidRPr="004A45BC" w:rsidRDefault="004A45BC" w:rsidP="004A45BC">
                  <w:proofErr w:type="gramStart"/>
                  <w:r w:rsidRPr="004A45BC">
                    <w:t xml:space="preserve">Projenin “Bölgesel Kalkınma Odaklı Misyon Farklılaşması Spor ve Sağlık Alanında İhtisaslaşma Projeleri Destekleme Programı Usul Ve Esasları” ve “Aksaray Üniversitesi Bilimsel Araştırma Projeleri </w:t>
                  </w:r>
                  <w:proofErr w:type="spellStart"/>
                  <w:r w:rsidRPr="004A45BC">
                    <w:t>Yönergesi”nde</w:t>
                  </w:r>
                  <w:proofErr w:type="spellEnd"/>
                  <w:r w:rsidRPr="004A45BC">
                    <w:t xml:space="preserve"> belirtilen esaslara bağlı kalarak protokole ekli Proje Başvuru formunda belirtilen program içinde, protokoldeki süre, amaç ve şartlara uygun olarak yürütülmesi, geliştirilmesi ve sonuçlandırılmasından proje yürütücüsü sorumludur. </w:t>
                  </w:r>
                  <w:proofErr w:type="gramEnd"/>
                  <w:r w:rsidRPr="004A45BC">
                    <w:t>Desteklenmesi kabul edilmiş projenin amaç, kapsam, süre, program, araştırmacılar ve bütçesinde Spor ve Sağlık Alanında İhtisaslaşma Koordinatörlüğü’nün yazılı izni alınmadan hiçbir değişiklik yapılamaz.</w:t>
                  </w:r>
                </w:p>
              </w:tc>
            </w:tr>
            <w:tr w:rsidR="004A45BC" w:rsidRPr="004A45BC" w14:paraId="31B4AD55" w14:textId="77777777" w:rsidTr="00A71C14">
              <w:tc>
                <w:tcPr>
                  <w:tcW w:w="0" w:type="auto"/>
                  <w:hideMark/>
                </w:tcPr>
                <w:p w14:paraId="540506FE" w14:textId="77777777" w:rsidR="004A45BC" w:rsidRPr="004A45BC" w:rsidRDefault="004A45BC" w:rsidP="004A45BC">
                  <w:pPr>
                    <w:rPr>
                      <w:b/>
                      <w:bCs/>
                      <w:u w:val="single"/>
                    </w:rPr>
                  </w:pPr>
                  <w:r w:rsidRPr="004A45BC">
                    <w:rPr>
                      <w:b/>
                      <w:bCs/>
                      <w:u w:val="single"/>
                    </w:rPr>
                    <w:t>MADDE 3 - Araç, Gereç ve Donanım</w:t>
                  </w:r>
                </w:p>
                <w:p w14:paraId="5FEA11AB" w14:textId="77777777" w:rsidR="004A45BC" w:rsidRPr="004A45BC" w:rsidRDefault="004A45BC" w:rsidP="004A45BC">
                  <w:r w:rsidRPr="004A45BC">
                    <w:t>Yurt içinden ve yurt dışından projeler kapsamında alınan her türlü demirbaş, Yürütme Kurulunun mülkiyetinde olup, proje süresince projenin yürütüleceği ilgili akademik birime (dekanlık/yüksekokul/enstitü/merkezi araştırma laboratuvarı) proje yürütücüsü ve ekibinin kullanımı için devredilir. Taşınır işlem fişi ile proje yürütücüsüne zimmetlenir. Proje kapsamında temin edilen makine-teçhizatın, proje süresince öncelikli kullanımı proje yürütücüsüne aittir. Proje bitiminden sonra Yürütme Kurulu makine-teçhizatı başka bir birime devrine karar verebilir ya da bulunduğu birimde başka proje yürütücüsünün kullanımına açılmasını isteyebilir. Kitap alımı isteği bulunan projelerde, istenilen kitapların projenin materyali olması ve üniversitemiz kütüphanesinde bulunmaması veya alımına ihtiyaç duyuluyor olması zorunludur. Alınan kitaplar, alım aşamasında Üniversite Kütüphanesine demirbaş olarak kayıt edilir.</w:t>
                  </w:r>
                </w:p>
              </w:tc>
            </w:tr>
            <w:tr w:rsidR="004A45BC" w:rsidRPr="004A45BC" w14:paraId="63EC3993" w14:textId="77777777" w:rsidTr="00A71C14">
              <w:tc>
                <w:tcPr>
                  <w:tcW w:w="0" w:type="auto"/>
                  <w:hideMark/>
                </w:tcPr>
                <w:p w14:paraId="7B6A520B" w14:textId="77777777" w:rsidR="004A45BC" w:rsidRPr="004A45BC" w:rsidRDefault="004A45BC" w:rsidP="004A45BC">
                  <w:pPr>
                    <w:rPr>
                      <w:b/>
                      <w:bCs/>
                      <w:u w:val="single"/>
                    </w:rPr>
                  </w:pPr>
                  <w:r w:rsidRPr="004A45BC">
                    <w:rPr>
                      <w:b/>
                      <w:bCs/>
                      <w:u w:val="single"/>
                    </w:rPr>
                    <w:t>MADDE 4 -Gelişme Raporları</w:t>
                  </w:r>
                </w:p>
                <w:p w14:paraId="38DA6ABB" w14:textId="77777777" w:rsidR="004A45BC" w:rsidRPr="004A45BC" w:rsidRDefault="004A45BC" w:rsidP="004A45BC">
                  <w:r w:rsidRPr="004A45BC">
                    <w:t xml:space="preserve">Proje Yürütücüsü, proje çalışmalarının gidişi ve proje harcama durumlarıyla ilgili olarak altı aylık dönemlerde takip eden ayın </w:t>
                  </w:r>
                  <w:r w:rsidRPr="004A45BC">
                    <w:rPr>
                      <w:b/>
                      <w:bCs/>
                    </w:rPr>
                    <w:t>15 (on beş)</w:t>
                  </w:r>
                  <w:r w:rsidRPr="004A45BC">
                    <w:t xml:space="preserve">’ine kadar birer gelişme raporunu ve ayrıca istenildiğinde projeye ilişkin ayrıntılı bilgileri Aksaray Üniversitesi Spor ve Sağlık Alanında İhtisaslaşma Koordinatörlüğü’ne vermekle yükümlüdür. </w:t>
                  </w:r>
                  <w:r w:rsidRPr="004A45BC">
                    <w:rPr>
                      <w:b/>
                      <w:bCs/>
                    </w:rPr>
                    <w:t>Gelişme Raporları kabul edilebilir mazeret bildirmeksizin protokolde belirlenen tarihlerde teslim edilmemesi halinde proje yürütücüsüne ödeme yapılmaz.</w:t>
                  </w:r>
                  <w:r w:rsidRPr="004A45BC">
                    <w:t xml:space="preserve"> Bu durumda Spor ve Sağlık Alanında İhtisaslaşma Koordinatörlüğü Yürütme Kurulu projeyi iptal edebileceği gibi proje yürütücüsünün değiştirilmesine de karar verebilir.</w:t>
                  </w:r>
                </w:p>
                <w:p w14:paraId="2E3D4FCB" w14:textId="77777777" w:rsidR="004A45BC" w:rsidRPr="004A45BC" w:rsidRDefault="004A45BC" w:rsidP="004A45BC">
                  <w:r w:rsidRPr="004A45BC">
                    <w:t xml:space="preserve">Spor ve Sağlık Alanında İhtisaslaşma Koordinatörlüğü Yürütme Kurulunun gerekli görmesi halinde, Yürütme Kurulu Başkanı projeyle ilgili çalışmaları yerinde inceleyebilir veya inceletebilir. Bu durumlarda proje yürütücüsü projeyle ilgili her türlü teknik, idari ve mali bilgileri ve belgeleri incelemeye hazır bulundurmak ve incelemeyi kolaylaştıracak bütün yardımları yapmakla yükümlüdür. </w:t>
                  </w:r>
                </w:p>
                <w:p w14:paraId="012AD9A5" w14:textId="77777777" w:rsidR="004A45BC" w:rsidRPr="004A45BC" w:rsidRDefault="004A45BC" w:rsidP="004A45BC">
                  <w:r w:rsidRPr="004A45BC">
                    <w:t xml:space="preserve">Proje yürütücüsü projenin sona ermesini izleyen </w:t>
                  </w:r>
                  <w:r w:rsidRPr="004A45BC">
                    <w:rPr>
                      <w:b/>
                      <w:bCs/>
                    </w:rPr>
                    <w:t>3 ay içerisinde</w:t>
                  </w:r>
                  <w:r w:rsidRPr="004A45BC">
                    <w:t xml:space="preserve">, tüm araştırma sonuçlarını içeren Kesin Raporu, ayrıca araştırma devam ederken bilimsel toplantılara sunulan bildiri metinleri ile varsa ara yayınların birer örneğini Aksaray Üniversitesi Spor ve Sağlık Alanında İhtisaslaşma Koordinatörlüğü’ne teslim etmekle yükümlüdür. Proje kapsamında yapılacak yayınlarda çalışmanın Aksaray Üniversitesi Spor ve Sağlık Alanında İhtisaslaşma Koordinatörlüğü tarafından </w:t>
                  </w:r>
                  <w:r w:rsidRPr="004A45BC">
                    <w:lastRenderedPageBreak/>
                    <w:t xml:space="preserve">desteklendiğinin proje numarası ile beraber açık bir şekilde belirtilmesi zorunludur. </w:t>
                  </w:r>
                </w:p>
              </w:tc>
            </w:tr>
            <w:tr w:rsidR="004A45BC" w:rsidRPr="004A45BC" w14:paraId="1C69F3FB" w14:textId="77777777" w:rsidTr="00A71C14">
              <w:tc>
                <w:tcPr>
                  <w:tcW w:w="0" w:type="auto"/>
                  <w:hideMark/>
                </w:tcPr>
                <w:p w14:paraId="7869A3CD" w14:textId="77777777" w:rsidR="004A45BC" w:rsidRPr="004A45BC" w:rsidRDefault="004A45BC" w:rsidP="004A45BC">
                  <w:pPr>
                    <w:rPr>
                      <w:b/>
                      <w:bCs/>
                      <w:u w:val="single"/>
                    </w:rPr>
                  </w:pPr>
                  <w:r w:rsidRPr="004A45BC">
                    <w:rPr>
                      <w:b/>
                      <w:bCs/>
                      <w:u w:val="single"/>
                    </w:rPr>
                    <w:lastRenderedPageBreak/>
                    <w:t>MADDE 5 - Güvenlik Önlemleri</w:t>
                  </w:r>
                </w:p>
                <w:p w14:paraId="07BDEE41" w14:textId="77777777" w:rsidR="004A45BC" w:rsidRPr="004A45BC" w:rsidRDefault="004A45BC" w:rsidP="004A45BC">
                  <w:r w:rsidRPr="004A45BC">
                    <w:t>Proje Yürütücüsü, proje yerinde kazaları önleme ve sağlık şartları bakımından gerekli her türlü güvenlik önlemlerinin alınmasından ve etik kurallarının uygulanmasından sorumludur.</w:t>
                  </w:r>
                </w:p>
              </w:tc>
            </w:tr>
            <w:tr w:rsidR="004A45BC" w:rsidRPr="004A45BC" w14:paraId="640399EC" w14:textId="77777777" w:rsidTr="00A71C14">
              <w:tc>
                <w:tcPr>
                  <w:tcW w:w="0" w:type="auto"/>
                  <w:hideMark/>
                </w:tcPr>
                <w:p w14:paraId="27C198C9" w14:textId="77777777" w:rsidR="004A45BC" w:rsidRPr="004A45BC" w:rsidRDefault="004A45BC" w:rsidP="004A45BC">
                  <w:pPr>
                    <w:rPr>
                      <w:b/>
                      <w:bCs/>
                      <w:u w:val="single"/>
                    </w:rPr>
                  </w:pPr>
                  <w:r w:rsidRPr="004A45BC">
                    <w:rPr>
                      <w:b/>
                      <w:bCs/>
                      <w:u w:val="single"/>
                    </w:rPr>
                    <w:t>MADDE 6 - Gizlilik</w:t>
                  </w:r>
                </w:p>
                <w:p w14:paraId="490F1E20" w14:textId="77777777" w:rsidR="004A45BC" w:rsidRPr="004A45BC" w:rsidRDefault="004A45BC" w:rsidP="004A45BC">
                  <w:r w:rsidRPr="004A45BC">
                    <w:t>Proje yürütücüsü, projeyle ilgili olarak elde edilecek bilgilerin gizliliğinin korunması bakımından Aksaray Üniversitesi’ne karşı sorumludur. Ulusal güvenlik, milli ekonomi ve ülke çıkarları aleyhine kullanılabilecek proje sonuçları üzerinde proje yürütücüsü ve yardımcı araştırmacılar tarafından haber ya da açıklama yapılamaz ve yayın yapılamaz.</w:t>
                  </w:r>
                </w:p>
              </w:tc>
            </w:tr>
            <w:tr w:rsidR="004A45BC" w:rsidRPr="004A45BC" w14:paraId="05FE29E3" w14:textId="77777777" w:rsidTr="00A71C14">
              <w:tc>
                <w:tcPr>
                  <w:tcW w:w="0" w:type="auto"/>
                  <w:hideMark/>
                </w:tcPr>
                <w:p w14:paraId="7934ECF0" w14:textId="77777777" w:rsidR="004A45BC" w:rsidRPr="004A45BC" w:rsidRDefault="004A45BC" w:rsidP="004A45BC">
                  <w:pPr>
                    <w:rPr>
                      <w:b/>
                      <w:bCs/>
                      <w:u w:val="single"/>
                    </w:rPr>
                  </w:pPr>
                  <w:r w:rsidRPr="004A45BC">
                    <w:rPr>
                      <w:b/>
                      <w:bCs/>
                      <w:u w:val="single"/>
                    </w:rPr>
                    <w:t>MADDE 7 - Patent ve Telif Hakları</w:t>
                  </w:r>
                </w:p>
                <w:p w14:paraId="7E72BD34" w14:textId="77777777" w:rsidR="004A45BC" w:rsidRPr="004A45BC" w:rsidRDefault="004A45BC" w:rsidP="004A45BC">
                  <w:r w:rsidRPr="004A45BC">
                    <w:t>Projeden elde edilen bilimsel sonuçların telif hakları ve yayın esasları Aksaray Üniversitesi’ne aittir. Projeden elde edilen bilimsel sonuçların ulusal/uluslararası patentlere kaynaklık etmesi halinde, projenin sonuçlanmasından sonraki 10 yıl içinde elde edilecek patent gelirlerinin %50’si BAP Koordinasyon Birimi’nin bütçesine gelir kaydedilir, %50’si ise patent sahibi proje yürütücüsü öğretim elemanına bırakılır. Sanatsal alanda yapılan projelerin sonuçlanmasından sonraki 5 yıl içinde, proje kapsamında üretilen sanat eserlerinden elde edilecek gelirlerin %20’si BAP Koordinasyon Birimi’nin bütçesine gelir kaydedilir ve geriye kalan %80’sini proje yürütücüsü öğretim elemanına bırakılır.</w:t>
                  </w:r>
                </w:p>
                <w:p w14:paraId="12D16436" w14:textId="77777777" w:rsidR="004A45BC" w:rsidRPr="004A45BC" w:rsidRDefault="004A45BC" w:rsidP="004A45BC">
                  <w:r w:rsidRPr="004A45BC">
                    <w:t>Ulusal ve uluslararası bilimsel dergilerde bir gelir elde etmeksizin yapılan yayınların dışındaki her türlü yayın için Üniversite Rektörlüğü’nden izin alınması zorunludur. Aksi tespit edilen durumlarda öngörülecek yaptırımların yerine getirilmesine Yürütme Kurulu karar verir.</w:t>
                  </w:r>
                </w:p>
              </w:tc>
            </w:tr>
            <w:tr w:rsidR="004A45BC" w:rsidRPr="004A45BC" w14:paraId="2CC7956E" w14:textId="77777777" w:rsidTr="00A71C14">
              <w:tc>
                <w:tcPr>
                  <w:tcW w:w="0" w:type="auto"/>
                  <w:hideMark/>
                </w:tcPr>
                <w:p w14:paraId="02999AC6" w14:textId="77777777" w:rsidR="004A45BC" w:rsidRPr="004A45BC" w:rsidRDefault="004A45BC" w:rsidP="004A45BC">
                  <w:pPr>
                    <w:rPr>
                      <w:b/>
                      <w:bCs/>
                      <w:u w:val="single"/>
                    </w:rPr>
                  </w:pPr>
                  <w:r w:rsidRPr="004A45BC">
                    <w:rPr>
                      <w:b/>
                      <w:bCs/>
                      <w:u w:val="single"/>
                    </w:rPr>
                    <w:t>MADDE 8 -Mali Hükümler ve Harcamalar</w:t>
                  </w:r>
                </w:p>
                <w:p w14:paraId="59D33EF9" w14:textId="77777777" w:rsidR="004A45BC" w:rsidRPr="004A45BC" w:rsidRDefault="004A45BC" w:rsidP="004A45BC">
                  <w:r w:rsidRPr="004A45BC">
                    <w:t>Harcamalar ilgili birimlerin avans ve kredi işlemleri için görevlendirilen mutemetler tarafından alınacak avanstan kanıtlayıcı evrak karşılığı yapılır. Verilen bu avansın usulüne uygun olarak mahsubu yapılmadan yeniden avans verilmez. Aldıkları avansın mahsubunu yapmayan mutemetler hakkında 6183 sayılı Amme Alacaklarının Tahsil Usulü Hakkında Kanun hükümleri uygulanır.</w:t>
                  </w:r>
                </w:p>
                <w:p w14:paraId="1823B446" w14:textId="77777777" w:rsidR="004A45BC" w:rsidRPr="004A45BC" w:rsidRDefault="004A45BC" w:rsidP="004A45BC">
                  <w:r w:rsidRPr="004A45BC">
                    <w:t>Yapılan tüm harcamalarda 17.10.2017 tarih ve 30213 sayılı Resmi Gazetede yayımlanan “Kamu İdarelerine Ait Özel Hesaplara İlişkin İşlemlerin Muhasebeleştirilmesine Dair Yönetmelik” hükümleri uygulanır. Muhasebeleştirme belgelerinin ekine harcama belgelerinin asılları eklenir.</w:t>
                  </w:r>
                </w:p>
              </w:tc>
            </w:tr>
            <w:tr w:rsidR="004A45BC" w:rsidRPr="004A45BC" w14:paraId="54B6958D" w14:textId="77777777" w:rsidTr="00A71C14">
              <w:tc>
                <w:tcPr>
                  <w:tcW w:w="0" w:type="auto"/>
                  <w:hideMark/>
                </w:tcPr>
                <w:p w14:paraId="7FBC790B" w14:textId="77777777" w:rsidR="004A45BC" w:rsidRPr="004A45BC" w:rsidRDefault="004A45BC" w:rsidP="004A45BC">
                  <w:pPr>
                    <w:rPr>
                      <w:b/>
                      <w:bCs/>
                      <w:u w:val="single"/>
                    </w:rPr>
                  </w:pPr>
                  <w:r w:rsidRPr="004A45BC">
                    <w:rPr>
                      <w:b/>
                      <w:bCs/>
                      <w:u w:val="single"/>
                    </w:rPr>
                    <w:t>MADDE 9 - Destek Miktarı</w:t>
                  </w:r>
                </w:p>
                <w:p w14:paraId="7C7CA443" w14:textId="77777777" w:rsidR="004A45BC" w:rsidRPr="004A45BC" w:rsidRDefault="004A45BC" w:rsidP="004A45BC">
                  <w:r w:rsidRPr="004A45BC">
                    <w:t xml:space="preserve">Projeye, ayrıntıları protokolde ekli, proje öneri formunda belirtilen ve Spor ve Sağlık Alanında İhtisaslaşma Koordinatörlüğü Yürütme Kurulu tarafından kabul edilen toplam </w:t>
                  </w:r>
                  <w:r w:rsidRPr="004A45BC">
                    <w:rPr>
                      <w:b/>
                    </w:rPr>
                    <w:t xml:space="preserve">630.000,00 </w:t>
                  </w:r>
                  <w:r w:rsidRPr="004A45BC">
                    <w:rPr>
                      <w:b/>
                      <w:bCs/>
                    </w:rPr>
                    <w:t>TL.</w:t>
                  </w:r>
                  <w:r w:rsidRPr="004A45BC">
                    <w:t xml:space="preserve"> destek sağlanacak olup, bu destek bütçenin serbest bırakıldığı oranda kullanılabilecektir. Yürütme Kurulu tarafından desteklenen proje bütçesi, proje yürütücüsü tarafından bütçe öneri formunda belirtiği mali tabloya uygun şekilde dağıtılır. Bu sözleşme ile öngörülen toplam maddi destek miktarı ve buna ait ödeme planında, Spor ve Sağlık Alanında İhtisaslaşma Koordinatörlüğü’ne tahsis edilen bütçe imkanları ile Birime nakit akışında meydana gelebilecek kısıntıların sebep olacağı aksamalar mücbir sebep olarak kabul edilir ve bundan ötürü taraflar sorumlu tutulamaz.</w:t>
                  </w:r>
                </w:p>
              </w:tc>
            </w:tr>
            <w:tr w:rsidR="004A45BC" w:rsidRPr="004A45BC" w14:paraId="4A02C6EB" w14:textId="77777777" w:rsidTr="00A71C14">
              <w:tc>
                <w:tcPr>
                  <w:tcW w:w="0" w:type="auto"/>
                  <w:hideMark/>
                </w:tcPr>
                <w:p w14:paraId="7B941BC2" w14:textId="77777777" w:rsidR="004A45BC" w:rsidRPr="004A45BC" w:rsidRDefault="004A45BC" w:rsidP="004A45BC">
                  <w:pPr>
                    <w:rPr>
                      <w:b/>
                      <w:bCs/>
                      <w:u w:val="single"/>
                    </w:rPr>
                  </w:pPr>
                  <w:r w:rsidRPr="004A45BC">
                    <w:rPr>
                      <w:b/>
                      <w:bCs/>
                      <w:u w:val="single"/>
                    </w:rPr>
                    <w:t>MADDE 10 - Ödemenin Kesilmesi, Harcamaların Geri Alınması ve Tazminat</w:t>
                  </w:r>
                </w:p>
                <w:p w14:paraId="7BF9E400" w14:textId="77777777" w:rsidR="004A45BC" w:rsidRPr="004A45BC" w:rsidRDefault="004A45BC" w:rsidP="004A45BC">
                  <w:r w:rsidRPr="004A45BC">
                    <w:t xml:space="preserve">Protokol gereğince yapılan ödemelerin, protokol şartlarına uygun olarak kullanılmadığının gelişme raporlarındaki ayrıntılı bilgilerden veya yapılan incelemelerden anlaşılması, proje gelişme raporlarının öngörülen tarihlerde verilmemesi veya proje yürütücüsünün Aksaray Üniversitesinden ayrılması hallerinde başkaca bir uyarıya gerek kalmadan protokol gereğince yapılan ödemeler her zaman durdurulabilir. Başka talepler saklı kalmak üzere verilmiş araç, gereç ve donanım derhal geri alınır ve Spor ve Sağlık Alanında İhtisaslaşma Koordinatörlüğü Yürütme Kurulu tarafından gerekli görüldüğü takdirde, proje başka bir araştırmacıya veya araştırma grubuna verilebilir. Projenin bu yolla sonuçlanması ile sağlanacak yararlardan proje ile ilişkisi kesilenler hiçbir hak talep edemezler. </w:t>
                  </w:r>
                </w:p>
                <w:p w14:paraId="3CACBE06" w14:textId="77777777" w:rsidR="004A45BC" w:rsidRPr="004A45BC" w:rsidRDefault="004A45BC" w:rsidP="004A45BC">
                  <w:r w:rsidRPr="004A45BC">
                    <w:t xml:space="preserve">Projenin durdurulması veya yönetmelik ve yasal gereklerin yerine getirilmeden bırakılması halinde, proje yürütücüsü Spor ve Sağlık Alanında İhtisaslaşma Koordinatörlüğü Yürütme Kurulu tarafından proje kapsamında yapılan yolluk, hizmet alımı ve tüketim malzemesi harcamalarını, uygulamada bulunan yasal faizi ile birlikte Spor ve Sağlık Alanında İhtisaslaşma </w:t>
                  </w:r>
                  <w:r w:rsidRPr="004A45BC">
                    <w:lastRenderedPageBreak/>
                    <w:t>Koordinatörlüğüne geri ödemekle yükümlüdür. Bu durumda desteklenen proje iptal edilmiş ve protokol feshedilmiş sayılacaktır.</w:t>
                  </w:r>
                </w:p>
              </w:tc>
            </w:tr>
            <w:tr w:rsidR="004A45BC" w:rsidRPr="004A45BC" w14:paraId="0CA1C422" w14:textId="77777777" w:rsidTr="00A71C14">
              <w:tc>
                <w:tcPr>
                  <w:tcW w:w="0" w:type="auto"/>
                  <w:hideMark/>
                </w:tcPr>
                <w:p w14:paraId="6795FDEF" w14:textId="77777777" w:rsidR="004A45BC" w:rsidRPr="004A45BC" w:rsidRDefault="004A45BC" w:rsidP="004A45BC">
                  <w:pPr>
                    <w:rPr>
                      <w:b/>
                      <w:bCs/>
                      <w:u w:val="single"/>
                    </w:rPr>
                  </w:pPr>
                  <w:r w:rsidRPr="004A45BC">
                    <w:rPr>
                      <w:b/>
                      <w:bCs/>
                      <w:u w:val="single"/>
                    </w:rPr>
                    <w:lastRenderedPageBreak/>
                    <w:t>MADDE 11 - Yürürlük Süresi</w:t>
                  </w:r>
                </w:p>
                <w:p w14:paraId="003BAE7E" w14:textId="77777777" w:rsidR="004A45BC" w:rsidRPr="004A45BC" w:rsidRDefault="004A45BC" w:rsidP="004A45BC">
                  <w:r w:rsidRPr="004A45BC">
                    <w:t xml:space="preserve">Bu Protokol </w:t>
                  </w:r>
                  <w:r w:rsidRPr="004A45BC">
                    <w:rPr>
                      <w:b/>
                    </w:rPr>
                    <w:t>09-02</w:t>
                  </w:r>
                  <w:r w:rsidRPr="004A45BC">
                    <w:rPr>
                      <w:b/>
                      <w:bCs/>
                    </w:rPr>
                    <w:t>-2024</w:t>
                  </w:r>
                  <w:r w:rsidRPr="004A45BC">
                    <w:t xml:space="preserve"> tarihinden </w:t>
                  </w:r>
                  <w:r w:rsidRPr="004A45BC">
                    <w:rPr>
                      <w:b/>
                    </w:rPr>
                    <w:t>08</w:t>
                  </w:r>
                  <w:r w:rsidRPr="004A45BC">
                    <w:rPr>
                      <w:b/>
                      <w:bCs/>
                    </w:rPr>
                    <w:t xml:space="preserve">-08-2025 </w:t>
                  </w:r>
                  <w:r w:rsidRPr="004A45BC">
                    <w:t>tarihine kadar yürürlüktedir.</w:t>
                  </w:r>
                </w:p>
              </w:tc>
            </w:tr>
            <w:tr w:rsidR="004A45BC" w:rsidRPr="004A45BC" w14:paraId="4AB5FBC8" w14:textId="77777777" w:rsidTr="00A71C14">
              <w:tc>
                <w:tcPr>
                  <w:tcW w:w="0" w:type="auto"/>
                  <w:hideMark/>
                </w:tcPr>
                <w:p w14:paraId="34EE1436" w14:textId="77777777" w:rsidR="004A45BC" w:rsidRPr="004A45BC" w:rsidRDefault="004A45BC" w:rsidP="004A45BC">
                  <w:pPr>
                    <w:rPr>
                      <w:b/>
                      <w:bCs/>
                      <w:u w:val="single"/>
                    </w:rPr>
                  </w:pPr>
                  <w:r w:rsidRPr="004A45BC">
                    <w:rPr>
                      <w:b/>
                      <w:bCs/>
                      <w:u w:val="single"/>
                    </w:rPr>
                    <w:t>MADDE 12 - Protokol Süresinin Uzatılması</w:t>
                  </w:r>
                </w:p>
                <w:p w14:paraId="2C8A24E4" w14:textId="77777777" w:rsidR="004A45BC" w:rsidRPr="004A45BC" w:rsidRDefault="004A45BC" w:rsidP="004A45BC">
                  <w:r w:rsidRPr="004A45BC">
                    <w:t>Protokol süresinin uzatılması; proje yürütücüsü tarafından protokol süresinin bitimi tarihinden en az 1 (bir) ay önce yapılan başvurusunun Spor ve Sağlık Alanında İhtisaslaşma Koordinatörlüğü Yürütme Kurulu’nca uygun görülmesine bağlıdır. Ek süre 1 (bir) yılı, ek ödenek ise proje toplamı bütçesinin % 50’sini geçemez.</w:t>
                  </w:r>
                </w:p>
              </w:tc>
            </w:tr>
            <w:tr w:rsidR="004A45BC" w:rsidRPr="004A45BC" w14:paraId="3088F8B6" w14:textId="77777777" w:rsidTr="00A71C14">
              <w:tc>
                <w:tcPr>
                  <w:tcW w:w="0" w:type="auto"/>
                </w:tcPr>
                <w:p w14:paraId="42890BA6" w14:textId="77777777" w:rsidR="004A45BC" w:rsidRPr="004A45BC" w:rsidRDefault="004A45BC" w:rsidP="004A45BC">
                  <w:pPr>
                    <w:rPr>
                      <w:b/>
                      <w:bCs/>
                      <w:u w:val="single"/>
                    </w:rPr>
                  </w:pPr>
                  <w:r w:rsidRPr="004A45BC">
                    <w:rPr>
                      <w:b/>
                      <w:bCs/>
                      <w:u w:val="single"/>
                    </w:rPr>
                    <w:t xml:space="preserve">MADDE 13 – Etik Uygunluk </w:t>
                  </w:r>
                </w:p>
                <w:p w14:paraId="1E90B553" w14:textId="77777777" w:rsidR="004A45BC" w:rsidRPr="004A45BC" w:rsidRDefault="004A45BC" w:rsidP="004A45BC">
                  <w:pPr>
                    <w:rPr>
                      <w:b/>
                    </w:rPr>
                  </w:pPr>
                  <w:r w:rsidRPr="004A45BC">
                    <w:t>Projeye etik uygunluk kararı gerekiyorsa, ilgili etik kurul kararının 90 gün içerisinde eklenmesi zorunludur. Aksi durumda desteklenen proje iptal edilmiş ve protokol feshedilmiş sayılacaktır.</w:t>
                  </w:r>
                </w:p>
              </w:tc>
            </w:tr>
            <w:tr w:rsidR="004A45BC" w:rsidRPr="004A45BC" w14:paraId="2C0E7116" w14:textId="77777777" w:rsidTr="00A71C14">
              <w:tc>
                <w:tcPr>
                  <w:tcW w:w="0" w:type="auto"/>
                  <w:hideMark/>
                </w:tcPr>
                <w:p w14:paraId="11BA2381" w14:textId="77777777" w:rsidR="004A45BC" w:rsidRPr="004A45BC" w:rsidRDefault="004A45BC" w:rsidP="004A45BC">
                  <w:pPr>
                    <w:rPr>
                      <w:b/>
                      <w:bCs/>
                      <w:u w:val="single"/>
                    </w:rPr>
                  </w:pPr>
                  <w:r w:rsidRPr="004A45BC">
                    <w:rPr>
                      <w:b/>
                      <w:bCs/>
                      <w:u w:val="single"/>
                    </w:rPr>
                    <w:t>MADDE 14- Hüküm Bulunmayan Haller</w:t>
                  </w:r>
                </w:p>
                <w:p w14:paraId="2CF0C6FC" w14:textId="77777777" w:rsidR="004A45BC" w:rsidRPr="004A45BC" w:rsidRDefault="004A45BC" w:rsidP="004A45BC">
                  <w:r w:rsidRPr="004A45BC">
                    <w:t>Bu protokolde hüküm bulunmayan hallerde “Bölgesel Kalkınma Odaklı Misyon Farklılaşması Spor ve Sağlık Alanında İhtisaslaşma Projeleri Destekleme Programı Usul Ve Esasları”, “Aksaray Üniversitesi Bilimsel Araştırma Projeleri Yönergesi” ve “Yükseköğretim Kurumları Bilimsel Araştırma Projeleri Hakkındaki Yönetmelik” Hükümleri ve Genel Hükümler uygulanır.</w:t>
                  </w:r>
                </w:p>
              </w:tc>
            </w:tr>
            <w:tr w:rsidR="004A45BC" w:rsidRPr="004A45BC" w14:paraId="1052555E" w14:textId="77777777" w:rsidTr="00A71C14">
              <w:tc>
                <w:tcPr>
                  <w:tcW w:w="0" w:type="auto"/>
                  <w:hideMark/>
                </w:tcPr>
                <w:p w14:paraId="41153408" w14:textId="77777777" w:rsidR="004A45BC" w:rsidRPr="004A45BC" w:rsidRDefault="004A45BC" w:rsidP="004A45BC">
                  <w:pPr>
                    <w:rPr>
                      <w:b/>
                      <w:bCs/>
                      <w:u w:val="single"/>
                    </w:rPr>
                  </w:pPr>
                  <w:r w:rsidRPr="004A45BC">
                    <w:rPr>
                      <w:b/>
                      <w:bCs/>
                      <w:u w:val="single"/>
                    </w:rPr>
                    <w:t xml:space="preserve">MADDE 15- Yetkili Merci </w:t>
                  </w:r>
                </w:p>
                <w:p w14:paraId="6579E4FB" w14:textId="77777777" w:rsidR="004A45BC" w:rsidRPr="004A45BC" w:rsidRDefault="004A45BC" w:rsidP="004A45BC">
                  <w:r w:rsidRPr="004A45BC">
                    <w:t>Anlaşmazlık halinde yetkili merci Aksaray Mahkemeleri ve İcra Daireleridir.</w:t>
                  </w:r>
                </w:p>
              </w:tc>
            </w:tr>
            <w:tr w:rsidR="004A45BC" w:rsidRPr="004A45BC" w14:paraId="7143F77E" w14:textId="77777777" w:rsidTr="00A71C14">
              <w:tc>
                <w:tcPr>
                  <w:tcW w:w="0" w:type="auto"/>
                  <w:vAlign w:val="center"/>
                  <w:hideMark/>
                </w:tcPr>
                <w:p w14:paraId="41A1A501" w14:textId="77777777" w:rsidR="004A45BC" w:rsidRPr="004A45BC" w:rsidRDefault="004A45BC" w:rsidP="004A45BC">
                  <w:r w:rsidRPr="004A45BC">
                    <w:t> </w:t>
                  </w:r>
                </w:p>
              </w:tc>
            </w:tr>
          </w:tbl>
          <w:p w14:paraId="577A9EB3" w14:textId="77777777" w:rsidR="004A45BC" w:rsidRPr="004A45BC" w:rsidRDefault="004A45BC" w:rsidP="004A45BC">
            <w:pPr>
              <w:widowControl w:val="0"/>
              <w:autoSpaceDE w:val="0"/>
              <w:autoSpaceDN w:val="0"/>
              <w:rPr>
                <w:vanish/>
              </w:rPr>
            </w:pP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483"/>
              <w:gridCol w:w="5484"/>
            </w:tblGrid>
            <w:tr w:rsidR="004A45BC" w:rsidRPr="004A45BC" w14:paraId="18ABA4EE" w14:textId="77777777" w:rsidTr="00A71C14">
              <w:tc>
                <w:tcPr>
                  <w:tcW w:w="2500" w:type="pct"/>
                  <w:tcBorders>
                    <w:top w:val="outset" w:sz="6" w:space="0" w:color="auto"/>
                    <w:left w:val="outset" w:sz="6" w:space="0" w:color="auto"/>
                    <w:bottom w:val="outset" w:sz="6" w:space="0" w:color="auto"/>
                    <w:right w:val="outset" w:sz="6" w:space="0" w:color="auto"/>
                  </w:tcBorders>
                  <w:vAlign w:val="center"/>
                  <w:hideMark/>
                </w:tcPr>
                <w:p w14:paraId="162711AC" w14:textId="77777777" w:rsidR="004A45BC" w:rsidRPr="004A45BC" w:rsidRDefault="004A45BC" w:rsidP="004A45BC">
                  <w:r w:rsidRPr="004A45BC">
                    <w:rPr>
                      <w:b/>
                      <w:bCs/>
                    </w:rPr>
                    <w:t>Proje Yürütücüsü</w:t>
                  </w:r>
                </w:p>
              </w:tc>
              <w:tc>
                <w:tcPr>
                  <w:tcW w:w="2500" w:type="pct"/>
                  <w:tcBorders>
                    <w:top w:val="outset" w:sz="6" w:space="0" w:color="auto"/>
                    <w:left w:val="outset" w:sz="6" w:space="0" w:color="auto"/>
                    <w:bottom w:val="outset" w:sz="6" w:space="0" w:color="auto"/>
                    <w:right w:val="outset" w:sz="6" w:space="0" w:color="auto"/>
                  </w:tcBorders>
                  <w:vAlign w:val="center"/>
                  <w:hideMark/>
                </w:tcPr>
                <w:p w14:paraId="73DDA263" w14:textId="77777777" w:rsidR="004A45BC" w:rsidRPr="004A45BC" w:rsidRDefault="004A45BC" w:rsidP="004A45BC">
                  <w:r w:rsidRPr="004A45BC">
                    <w:rPr>
                      <w:b/>
                      <w:bCs/>
                    </w:rPr>
                    <w:t>Aksaray ÜNİVERSİTESİ</w:t>
                  </w:r>
                  <w:r w:rsidRPr="004A45BC">
                    <w:rPr>
                      <w:b/>
                      <w:bCs/>
                    </w:rPr>
                    <w:br/>
                    <w:t>Adına</w:t>
                  </w:r>
                </w:p>
              </w:tc>
            </w:tr>
            <w:tr w:rsidR="004A45BC" w:rsidRPr="004A45BC" w14:paraId="2A29AFEB" w14:textId="77777777" w:rsidTr="00A71C14">
              <w:trPr>
                <w:trHeight w:val="2250"/>
              </w:trPr>
              <w:tc>
                <w:tcPr>
                  <w:tcW w:w="2500" w:type="pct"/>
                  <w:tcBorders>
                    <w:top w:val="outset" w:sz="6" w:space="0" w:color="auto"/>
                    <w:left w:val="outset" w:sz="6" w:space="0" w:color="auto"/>
                    <w:bottom w:val="outset" w:sz="6" w:space="0" w:color="auto"/>
                    <w:right w:val="outset" w:sz="6" w:space="0" w:color="auto"/>
                  </w:tcBorders>
                  <w:vAlign w:val="center"/>
                  <w:hideMark/>
                </w:tcPr>
                <w:p w14:paraId="0BE306C5" w14:textId="77777777" w:rsidR="004A45BC" w:rsidRPr="004A45BC" w:rsidRDefault="004A45BC" w:rsidP="004A45BC">
                  <w:pPr>
                    <w:rPr>
                      <w:b/>
                    </w:rPr>
                  </w:pPr>
                  <w:r w:rsidRPr="004A45BC">
                    <w:t> </w:t>
                  </w:r>
                  <w:r w:rsidRPr="004A45BC">
                    <w:br/>
                  </w:r>
                </w:p>
              </w:tc>
              <w:tc>
                <w:tcPr>
                  <w:tcW w:w="2500" w:type="pct"/>
                  <w:tcBorders>
                    <w:top w:val="outset" w:sz="6" w:space="0" w:color="auto"/>
                    <w:left w:val="outset" w:sz="6" w:space="0" w:color="auto"/>
                    <w:bottom w:val="outset" w:sz="6" w:space="0" w:color="auto"/>
                    <w:right w:val="outset" w:sz="6" w:space="0" w:color="auto"/>
                  </w:tcBorders>
                  <w:vAlign w:val="center"/>
                  <w:hideMark/>
                </w:tcPr>
                <w:p w14:paraId="1F8771E9" w14:textId="77777777" w:rsidR="004A45BC" w:rsidRPr="004A45BC" w:rsidRDefault="004A45BC" w:rsidP="004A45BC"/>
              </w:tc>
            </w:tr>
          </w:tbl>
          <w:p w14:paraId="1C4E8DA9" w14:textId="77777777" w:rsidR="004A45BC" w:rsidRPr="004A45BC" w:rsidRDefault="004A45BC" w:rsidP="004A45BC">
            <w:pPr>
              <w:widowControl w:val="0"/>
              <w:autoSpaceDE w:val="0"/>
              <w:autoSpaceDN w:val="0"/>
            </w:pPr>
          </w:p>
        </w:tc>
      </w:tr>
    </w:tbl>
    <w:p w14:paraId="1C9202DC" w14:textId="187F49D1" w:rsidR="00020282" w:rsidRPr="00020282" w:rsidRDefault="00020282" w:rsidP="00020282"/>
    <w:sectPr w:rsidR="00020282" w:rsidRPr="00020282" w:rsidSect="00E77DE4">
      <w:headerReference w:type="even" r:id="rId8"/>
      <w:headerReference w:type="default" r:id="rId9"/>
      <w:footerReference w:type="even" r:id="rId10"/>
      <w:footerReference w:type="default" r:id="rId11"/>
      <w:headerReference w:type="first" r:id="rId12"/>
      <w:footerReference w:type="first" r:id="rId13"/>
      <w:pgSz w:w="12240" w:h="15840"/>
      <w:pgMar w:top="276" w:right="563" w:bottom="1134" w:left="566" w:header="397" w:footer="0" w:gutter="0"/>
      <w:cols w:space="708"/>
      <w:docGrid w:linePitch="367"/>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290B37" w14:textId="77777777" w:rsidR="00536B4C" w:rsidRDefault="00536B4C" w:rsidP="00820ABE">
      <w:r>
        <w:separator/>
      </w:r>
    </w:p>
  </w:endnote>
  <w:endnote w:type="continuationSeparator" w:id="0">
    <w:p w14:paraId="06FA2F14" w14:textId="77777777" w:rsidR="00536B4C" w:rsidRDefault="00536B4C" w:rsidP="00820A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A5AB3E" w14:textId="77777777" w:rsidR="0020670D" w:rsidRDefault="0020670D">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8F81E7" w14:textId="08775729" w:rsidR="00820ABE" w:rsidRDefault="00820ABE"/>
  <w:p w14:paraId="65576402" w14:textId="77777777" w:rsidR="00820ABE" w:rsidRDefault="00820ABE"/>
  <w:tbl>
    <w:tblPr>
      <w:tblStyle w:val="TableNormal"/>
      <w:tblW w:w="11483" w:type="dxa"/>
      <w:tblInd w:w="-157" w:type="dxa"/>
      <w:tblBorders>
        <w:top w:val="single" w:sz="12" w:space="0" w:color="0073BA"/>
        <w:left w:val="single" w:sz="12" w:space="0" w:color="0073BA"/>
        <w:bottom w:val="single" w:sz="12" w:space="0" w:color="0073BA"/>
        <w:right w:val="single" w:sz="12" w:space="0" w:color="0073BA"/>
        <w:insideH w:val="single" w:sz="12" w:space="0" w:color="0073BA"/>
        <w:insideV w:val="single" w:sz="12" w:space="0" w:color="0073BA"/>
      </w:tblBorders>
      <w:tblLayout w:type="fixed"/>
      <w:tblLook w:val="01E0" w:firstRow="1" w:lastRow="1" w:firstColumn="1" w:lastColumn="1" w:noHBand="0" w:noVBand="0"/>
    </w:tblPr>
    <w:tblGrid>
      <w:gridCol w:w="3703"/>
      <w:gridCol w:w="3703"/>
      <w:gridCol w:w="4077"/>
    </w:tblGrid>
    <w:tr w:rsidR="00820ABE" w14:paraId="31476BA8" w14:textId="77777777" w:rsidTr="00E735A9">
      <w:trPr>
        <w:trHeight w:val="334"/>
      </w:trPr>
      <w:tc>
        <w:tcPr>
          <w:tcW w:w="3703" w:type="dxa"/>
        </w:tcPr>
        <w:p w14:paraId="35B1410A" w14:textId="77777777" w:rsidR="00820ABE" w:rsidRDefault="00820ABE" w:rsidP="00820ABE">
          <w:pPr>
            <w:pStyle w:val="TableParagraph"/>
            <w:spacing w:before="25"/>
            <w:ind w:left="495" w:right="470"/>
            <w:jc w:val="center"/>
            <w:rPr>
              <w:b/>
              <w:sz w:val="24"/>
            </w:rPr>
          </w:pPr>
          <w:r>
            <w:rPr>
              <w:b/>
              <w:sz w:val="24"/>
            </w:rPr>
            <w:t>Hazırlayan</w:t>
          </w:r>
        </w:p>
      </w:tc>
      <w:tc>
        <w:tcPr>
          <w:tcW w:w="3703" w:type="dxa"/>
        </w:tcPr>
        <w:p w14:paraId="6C18FE43" w14:textId="77777777" w:rsidR="00820ABE" w:rsidRDefault="00820ABE" w:rsidP="00820ABE">
          <w:pPr>
            <w:pStyle w:val="TableParagraph"/>
            <w:spacing w:before="25"/>
            <w:ind w:left="717" w:right="466"/>
            <w:jc w:val="center"/>
            <w:rPr>
              <w:b/>
              <w:sz w:val="24"/>
            </w:rPr>
          </w:pPr>
          <w:r>
            <w:rPr>
              <w:b/>
              <w:sz w:val="24"/>
            </w:rPr>
            <w:t>Yürürlük</w:t>
          </w:r>
          <w:r>
            <w:rPr>
              <w:b/>
              <w:spacing w:val="-3"/>
              <w:sz w:val="24"/>
            </w:rPr>
            <w:t xml:space="preserve"> </w:t>
          </w:r>
          <w:r>
            <w:rPr>
              <w:b/>
              <w:sz w:val="24"/>
            </w:rPr>
            <w:t>Onayı</w:t>
          </w:r>
        </w:p>
      </w:tc>
      <w:tc>
        <w:tcPr>
          <w:tcW w:w="4077" w:type="dxa"/>
        </w:tcPr>
        <w:p w14:paraId="15DF442F" w14:textId="77777777" w:rsidR="00820ABE" w:rsidRDefault="00820ABE" w:rsidP="00820ABE">
          <w:pPr>
            <w:pStyle w:val="TableParagraph"/>
            <w:spacing w:before="25"/>
            <w:ind w:left="1066" w:right="581"/>
            <w:jc w:val="center"/>
            <w:rPr>
              <w:b/>
              <w:sz w:val="24"/>
            </w:rPr>
          </w:pPr>
          <w:r>
            <w:rPr>
              <w:b/>
              <w:sz w:val="24"/>
            </w:rPr>
            <w:t>Kalite</w:t>
          </w:r>
          <w:r>
            <w:rPr>
              <w:b/>
              <w:spacing w:val="-2"/>
              <w:sz w:val="24"/>
            </w:rPr>
            <w:t xml:space="preserve"> </w:t>
          </w:r>
          <w:r>
            <w:rPr>
              <w:b/>
              <w:sz w:val="24"/>
            </w:rPr>
            <w:t>Sistem</w:t>
          </w:r>
          <w:r>
            <w:rPr>
              <w:b/>
              <w:spacing w:val="-5"/>
              <w:sz w:val="24"/>
            </w:rPr>
            <w:t xml:space="preserve"> </w:t>
          </w:r>
          <w:r>
            <w:rPr>
              <w:b/>
              <w:sz w:val="24"/>
            </w:rPr>
            <w:t>Onayı</w:t>
          </w:r>
        </w:p>
      </w:tc>
    </w:tr>
    <w:tr w:rsidR="00820ABE" w14:paraId="414A5AF0" w14:textId="77777777" w:rsidTr="00E735A9">
      <w:trPr>
        <w:trHeight w:val="745"/>
      </w:trPr>
      <w:tc>
        <w:tcPr>
          <w:tcW w:w="3703" w:type="dxa"/>
        </w:tcPr>
        <w:p w14:paraId="1BF9E8CC" w14:textId="77777777" w:rsidR="00820ABE" w:rsidRDefault="00820ABE" w:rsidP="00820ABE">
          <w:pPr>
            <w:pStyle w:val="TableParagraph"/>
            <w:spacing w:before="8"/>
            <w:rPr>
              <w:sz w:val="21"/>
            </w:rPr>
          </w:pPr>
        </w:p>
        <w:p w14:paraId="5D6488A3" w14:textId="77777777" w:rsidR="00820ABE" w:rsidRDefault="00820ABE" w:rsidP="00820ABE">
          <w:pPr>
            <w:pStyle w:val="TableParagraph"/>
            <w:ind w:left="496" w:right="470"/>
            <w:jc w:val="center"/>
            <w:rPr>
              <w:sz w:val="20"/>
            </w:rPr>
          </w:pPr>
          <w:r>
            <w:rPr>
              <w:sz w:val="20"/>
            </w:rPr>
            <w:t>Birim</w:t>
          </w:r>
          <w:r>
            <w:rPr>
              <w:spacing w:val="-7"/>
              <w:sz w:val="20"/>
            </w:rPr>
            <w:t xml:space="preserve"> </w:t>
          </w:r>
          <w:r>
            <w:rPr>
              <w:sz w:val="20"/>
            </w:rPr>
            <w:t>Kalite</w:t>
          </w:r>
          <w:r>
            <w:rPr>
              <w:spacing w:val="-3"/>
              <w:sz w:val="20"/>
            </w:rPr>
            <w:t xml:space="preserve"> </w:t>
          </w:r>
          <w:r>
            <w:rPr>
              <w:sz w:val="20"/>
            </w:rPr>
            <w:t>Temsilcisi</w:t>
          </w:r>
        </w:p>
      </w:tc>
      <w:tc>
        <w:tcPr>
          <w:tcW w:w="3703" w:type="dxa"/>
        </w:tcPr>
        <w:p w14:paraId="74DACDB2" w14:textId="77777777" w:rsidR="00820ABE" w:rsidRDefault="00820ABE" w:rsidP="00820ABE">
          <w:pPr>
            <w:pStyle w:val="TableParagraph"/>
            <w:spacing w:before="8"/>
            <w:rPr>
              <w:sz w:val="21"/>
            </w:rPr>
          </w:pPr>
        </w:p>
        <w:p w14:paraId="091228DE" w14:textId="77777777" w:rsidR="00820ABE" w:rsidRDefault="00820ABE" w:rsidP="00820ABE">
          <w:pPr>
            <w:pStyle w:val="TableParagraph"/>
            <w:ind w:left="717" w:right="470"/>
            <w:jc w:val="center"/>
            <w:rPr>
              <w:sz w:val="20"/>
            </w:rPr>
          </w:pPr>
          <w:r>
            <w:rPr>
              <w:sz w:val="20"/>
            </w:rPr>
            <w:t>Kalite</w:t>
          </w:r>
          <w:r>
            <w:rPr>
              <w:spacing w:val="-5"/>
              <w:sz w:val="20"/>
            </w:rPr>
            <w:t xml:space="preserve"> </w:t>
          </w:r>
          <w:r>
            <w:rPr>
              <w:sz w:val="20"/>
            </w:rPr>
            <w:t>Koordinatör</w:t>
          </w:r>
          <w:r>
            <w:rPr>
              <w:spacing w:val="-4"/>
              <w:sz w:val="20"/>
            </w:rPr>
            <w:t xml:space="preserve"> </w:t>
          </w:r>
          <w:r>
            <w:rPr>
              <w:sz w:val="20"/>
            </w:rPr>
            <w:t>Yardımcısı</w:t>
          </w:r>
        </w:p>
      </w:tc>
      <w:tc>
        <w:tcPr>
          <w:tcW w:w="4077" w:type="dxa"/>
        </w:tcPr>
        <w:p w14:paraId="18B6823A" w14:textId="77777777" w:rsidR="00820ABE" w:rsidRDefault="00820ABE" w:rsidP="00820ABE">
          <w:pPr>
            <w:pStyle w:val="TableParagraph"/>
            <w:spacing w:before="8"/>
            <w:rPr>
              <w:sz w:val="21"/>
            </w:rPr>
          </w:pPr>
        </w:p>
        <w:p w14:paraId="2CAE99AD" w14:textId="77777777" w:rsidR="00820ABE" w:rsidRDefault="00820ABE" w:rsidP="00820ABE">
          <w:pPr>
            <w:pStyle w:val="TableParagraph"/>
            <w:ind w:left="1066" w:right="579"/>
            <w:jc w:val="center"/>
            <w:rPr>
              <w:sz w:val="20"/>
            </w:rPr>
          </w:pPr>
          <w:r>
            <w:rPr>
              <w:sz w:val="20"/>
            </w:rPr>
            <w:t>Kalite</w:t>
          </w:r>
          <w:r>
            <w:rPr>
              <w:spacing w:val="-4"/>
              <w:sz w:val="20"/>
            </w:rPr>
            <w:t xml:space="preserve"> </w:t>
          </w:r>
          <w:r>
            <w:rPr>
              <w:sz w:val="20"/>
            </w:rPr>
            <w:t>Koordinatörü</w:t>
          </w:r>
        </w:p>
      </w:tc>
    </w:tr>
  </w:tbl>
  <w:p w14:paraId="6CAFAD11" w14:textId="77777777" w:rsidR="00820ABE" w:rsidRDefault="00820ABE">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08F993" w14:textId="77777777" w:rsidR="0020670D" w:rsidRDefault="0020670D">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3D8FFF" w14:textId="77777777" w:rsidR="00536B4C" w:rsidRDefault="00536B4C" w:rsidP="00820ABE">
      <w:r>
        <w:separator/>
      </w:r>
    </w:p>
  </w:footnote>
  <w:footnote w:type="continuationSeparator" w:id="0">
    <w:p w14:paraId="71F73C5F" w14:textId="77777777" w:rsidR="00536B4C" w:rsidRDefault="00536B4C" w:rsidP="00820AB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7DAE83" w14:textId="77777777" w:rsidR="0020670D" w:rsidRDefault="0020670D">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Normal"/>
      <w:tblW w:w="10915" w:type="dxa"/>
      <w:tblInd w:w="127" w:type="dxa"/>
      <w:tblBorders>
        <w:top w:val="single" w:sz="12" w:space="0" w:color="0073BA"/>
        <w:left w:val="single" w:sz="12" w:space="0" w:color="0073BA"/>
        <w:bottom w:val="single" w:sz="12" w:space="0" w:color="0073BA"/>
        <w:right w:val="single" w:sz="12" w:space="0" w:color="0073BA"/>
        <w:insideH w:val="single" w:sz="12" w:space="0" w:color="0073BA"/>
        <w:insideV w:val="single" w:sz="12" w:space="0" w:color="0073BA"/>
      </w:tblBorders>
      <w:tblLayout w:type="fixed"/>
      <w:tblLook w:val="01E0" w:firstRow="1" w:lastRow="1" w:firstColumn="1" w:lastColumn="1" w:noHBand="0" w:noVBand="0"/>
    </w:tblPr>
    <w:tblGrid>
      <w:gridCol w:w="1560"/>
      <w:gridCol w:w="4819"/>
      <w:gridCol w:w="1559"/>
      <w:gridCol w:w="1418"/>
      <w:gridCol w:w="1559"/>
    </w:tblGrid>
    <w:tr w:rsidR="001B012F" w14:paraId="0CD7BD52" w14:textId="77777777" w:rsidTr="0020670D">
      <w:trPr>
        <w:trHeight w:val="248"/>
      </w:trPr>
      <w:tc>
        <w:tcPr>
          <w:tcW w:w="1560" w:type="dxa"/>
          <w:vMerge w:val="restart"/>
        </w:tcPr>
        <w:p w14:paraId="00636CA3" w14:textId="77777777" w:rsidR="001B012F" w:rsidRDefault="001B012F" w:rsidP="001B012F">
          <w:pPr>
            <w:pStyle w:val="TableParagraph"/>
          </w:pPr>
        </w:p>
      </w:tc>
      <w:tc>
        <w:tcPr>
          <w:tcW w:w="4819" w:type="dxa"/>
          <w:vMerge w:val="restart"/>
        </w:tcPr>
        <w:p w14:paraId="014B50A2" w14:textId="77777777" w:rsidR="001B012F" w:rsidRDefault="001B012F" w:rsidP="001B012F">
          <w:pPr>
            <w:pStyle w:val="TableParagraph"/>
            <w:spacing w:before="154"/>
            <w:ind w:left="167" w:right="137"/>
            <w:jc w:val="center"/>
            <w:rPr>
              <w:b/>
              <w:sz w:val="24"/>
            </w:rPr>
          </w:pPr>
          <w:r>
            <w:rPr>
              <w:b/>
              <w:sz w:val="24"/>
            </w:rPr>
            <w:t>AKSARAY ÜNİVERSİTESİ</w:t>
          </w:r>
          <w:r>
            <w:rPr>
              <w:b/>
              <w:spacing w:val="1"/>
              <w:sz w:val="24"/>
            </w:rPr>
            <w:t xml:space="preserve"> </w:t>
          </w:r>
          <w:r>
            <w:rPr>
              <w:b/>
              <w:sz w:val="24"/>
            </w:rPr>
            <w:t>REKTÖRLÜĞÜ</w:t>
          </w:r>
        </w:p>
        <w:p w14:paraId="4160F8CC" w14:textId="0F40DFED" w:rsidR="001B012F" w:rsidRDefault="00B90C02" w:rsidP="004A45BC">
          <w:pPr>
            <w:pStyle w:val="TableParagraph"/>
            <w:spacing w:before="154"/>
            <w:ind w:left="167" w:right="137"/>
            <w:jc w:val="center"/>
            <w:rPr>
              <w:b/>
              <w:sz w:val="24"/>
            </w:rPr>
          </w:pPr>
          <w:r>
            <w:rPr>
              <w:b/>
              <w:sz w:val="24"/>
            </w:rPr>
            <w:t xml:space="preserve">Spor ve Sağlık Alanında İhtisaslaşma Koordinatörlüğü </w:t>
          </w:r>
          <w:r w:rsidR="004A45BC">
            <w:rPr>
              <w:b/>
              <w:sz w:val="24"/>
            </w:rPr>
            <w:t>Proje Sözleşme</w:t>
          </w:r>
          <w:r>
            <w:rPr>
              <w:b/>
              <w:sz w:val="24"/>
            </w:rPr>
            <w:t xml:space="preserve"> Formu</w:t>
          </w:r>
        </w:p>
      </w:tc>
      <w:tc>
        <w:tcPr>
          <w:tcW w:w="1559" w:type="dxa"/>
        </w:tcPr>
        <w:p w14:paraId="403576D3" w14:textId="77777777" w:rsidR="001B012F" w:rsidRDefault="001B012F" w:rsidP="001B012F">
          <w:pPr>
            <w:pStyle w:val="TableParagraph"/>
            <w:spacing w:before="2" w:line="226" w:lineRule="exact"/>
            <w:ind w:left="110" w:right="88"/>
            <w:jc w:val="both"/>
            <w:rPr>
              <w:sz w:val="20"/>
            </w:rPr>
          </w:pPr>
          <w:r>
            <w:rPr>
              <w:sz w:val="20"/>
            </w:rPr>
            <w:t>Doküman</w:t>
          </w:r>
          <w:r>
            <w:rPr>
              <w:spacing w:val="-3"/>
              <w:sz w:val="20"/>
            </w:rPr>
            <w:t xml:space="preserve"> </w:t>
          </w:r>
          <w:r>
            <w:rPr>
              <w:sz w:val="20"/>
            </w:rPr>
            <w:t>No</w:t>
          </w:r>
        </w:p>
      </w:tc>
      <w:tc>
        <w:tcPr>
          <w:tcW w:w="1418" w:type="dxa"/>
        </w:tcPr>
        <w:p w14:paraId="5E1C4B1A" w14:textId="674A4447" w:rsidR="001B012F" w:rsidRDefault="00844C2A" w:rsidP="009A2067">
          <w:pPr>
            <w:pStyle w:val="TableParagraph"/>
            <w:spacing w:before="2" w:line="226" w:lineRule="exact"/>
            <w:ind w:left="140" w:right="117"/>
            <w:jc w:val="both"/>
            <w:rPr>
              <w:sz w:val="20"/>
            </w:rPr>
          </w:pPr>
          <w:r w:rsidRPr="000C2C03">
            <w:rPr>
              <w:sz w:val="18"/>
            </w:rPr>
            <w:t>KYS-</w:t>
          </w:r>
          <w:r w:rsidR="00B90C02" w:rsidRPr="000C2C03">
            <w:rPr>
              <w:sz w:val="18"/>
            </w:rPr>
            <w:t>FRM</w:t>
          </w:r>
          <w:r w:rsidRPr="000C2C03">
            <w:rPr>
              <w:sz w:val="18"/>
            </w:rPr>
            <w:t>-</w:t>
          </w:r>
          <w:r w:rsidR="00B90C02" w:rsidRPr="000C2C03">
            <w:rPr>
              <w:sz w:val="18"/>
            </w:rPr>
            <w:t>44</w:t>
          </w:r>
          <w:r w:rsidR="0020670D">
            <w:rPr>
              <w:sz w:val="18"/>
            </w:rPr>
            <w:t>6</w:t>
          </w:r>
        </w:p>
      </w:tc>
      <w:tc>
        <w:tcPr>
          <w:tcW w:w="1559" w:type="dxa"/>
          <w:vMerge w:val="restart"/>
        </w:tcPr>
        <w:p w14:paraId="7E7A0519" w14:textId="349AEFCF" w:rsidR="001B012F" w:rsidRDefault="00B94E83" w:rsidP="001B012F">
          <w:pPr>
            <w:pStyle w:val="TableParagraph"/>
            <w:spacing w:before="7" w:after="1"/>
            <w:rPr>
              <w:sz w:val="13"/>
            </w:rPr>
          </w:pPr>
          <w:r>
            <w:rPr>
              <w:noProof/>
              <w:sz w:val="20"/>
              <w:lang w:eastAsia="tr-TR"/>
            </w:rPr>
            <w:drawing>
              <wp:anchor distT="0" distB="0" distL="114300" distR="114300" simplePos="0" relativeHeight="251660288" behindDoc="1" locked="0" layoutInCell="1" allowOverlap="1" wp14:anchorId="77022F08" wp14:editId="70B6F2DB">
                <wp:simplePos x="0" y="0"/>
                <wp:positionH relativeFrom="column">
                  <wp:posOffset>71755</wp:posOffset>
                </wp:positionH>
                <wp:positionV relativeFrom="paragraph">
                  <wp:posOffset>64135</wp:posOffset>
                </wp:positionV>
                <wp:extent cx="867410" cy="701040"/>
                <wp:effectExtent l="0" t="0" r="8890" b="3810"/>
                <wp:wrapNone/>
                <wp:docPr id="2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7410" cy="701040"/>
                        </a:xfrm>
                        <a:prstGeom prst="rect">
                          <a:avLst/>
                        </a:prstGeom>
                      </pic:spPr>
                    </pic:pic>
                  </a:graphicData>
                </a:graphic>
                <wp14:sizeRelH relativeFrom="page">
                  <wp14:pctWidth>0</wp14:pctWidth>
                </wp14:sizeRelH>
                <wp14:sizeRelV relativeFrom="page">
                  <wp14:pctHeight>0</wp14:pctHeight>
                </wp14:sizeRelV>
              </wp:anchor>
            </w:drawing>
          </w:r>
        </w:p>
        <w:p w14:paraId="2A229C6D" w14:textId="117AF1CD" w:rsidR="001B012F" w:rsidRDefault="001B012F" w:rsidP="001B012F">
          <w:pPr>
            <w:pStyle w:val="TableParagraph"/>
            <w:ind w:left="105"/>
            <w:rPr>
              <w:sz w:val="20"/>
            </w:rPr>
          </w:pPr>
        </w:p>
      </w:tc>
    </w:tr>
    <w:tr w:rsidR="001B012F" w14:paraId="49CCB817" w14:textId="77777777" w:rsidTr="0020670D">
      <w:trPr>
        <w:trHeight w:val="260"/>
      </w:trPr>
      <w:tc>
        <w:tcPr>
          <w:tcW w:w="1560" w:type="dxa"/>
          <w:vMerge/>
          <w:tcBorders>
            <w:top w:val="nil"/>
          </w:tcBorders>
        </w:tcPr>
        <w:p w14:paraId="4B869D59" w14:textId="432AF828" w:rsidR="001B012F" w:rsidRDefault="001B012F" w:rsidP="001B012F">
          <w:pPr>
            <w:rPr>
              <w:sz w:val="2"/>
              <w:szCs w:val="2"/>
            </w:rPr>
          </w:pPr>
        </w:p>
      </w:tc>
      <w:tc>
        <w:tcPr>
          <w:tcW w:w="4819" w:type="dxa"/>
          <w:vMerge/>
          <w:tcBorders>
            <w:top w:val="nil"/>
          </w:tcBorders>
        </w:tcPr>
        <w:p w14:paraId="064F3FC5" w14:textId="77777777" w:rsidR="001B012F" w:rsidRDefault="001B012F" w:rsidP="001B012F">
          <w:pPr>
            <w:rPr>
              <w:sz w:val="2"/>
              <w:szCs w:val="2"/>
            </w:rPr>
          </w:pPr>
        </w:p>
      </w:tc>
      <w:tc>
        <w:tcPr>
          <w:tcW w:w="1559" w:type="dxa"/>
        </w:tcPr>
        <w:p w14:paraId="294E1347" w14:textId="77777777" w:rsidR="001B012F" w:rsidRDefault="001B012F" w:rsidP="001B012F">
          <w:pPr>
            <w:pStyle w:val="TableParagraph"/>
            <w:spacing w:before="9"/>
            <w:ind w:left="110" w:right="88"/>
            <w:jc w:val="both"/>
            <w:rPr>
              <w:sz w:val="20"/>
            </w:rPr>
          </w:pPr>
          <w:r>
            <w:rPr>
              <w:sz w:val="20"/>
            </w:rPr>
            <w:t>İlk</w:t>
          </w:r>
          <w:r>
            <w:rPr>
              <w:spacing w:val="-4"/>
              <w:sz w:val="20"/>
            </w:rPr>
            <w:t xml:space="preserve"> </w:t>
          </w:r>
          <w:r>
            <w:rPr>
              <w:sz w:val="20"/>
            </w:rPr>
            <w:t>Yayın</w:t>
          </w:r>
          <w:r>
            <w:rPr>
              <w:spacing w:val="-3"/>
              <w:sz w:val="20"/>
            </w:rPr>
            <w:t xml:space="preserve"> </w:t>
          </w:r>
          <w:r>
            <w:rPr>
              <w:sz w:val="20"/>
            </w:rPr>
            <w:t>Tarihi</w:t>
          </w:r>
        </w:p>
      </w:tc>
      <w:tc>
        <w:tcPr>
          <w:tcW w:w="1418" w:type="dxa"/>
        </w:tcPr>
        <w:p w14:paraId="334652CD" w14:textId="1700EC34" w:rsidR="001B012F" w:rsidRDefault="0020670D" w:rsidP="001B012F">
          <w:pPr>
            <w:pStyle w:val="TableParagraph"/>
            <w:spacing w:before="9"/>
            <w:ind w:left="140" w:right="114"/>
            <w:jc w:val="center"/>
            <w:rPr>
              <w:sz w:val="20"/>
            </w:rPr>
          </w:pPr>
          <w:r>
            <w:rPr>
              <w:sz w:val="20"/>
            </w:rPr>
            <w:t>12</w:t>
          </w:r>
          <w:bookmarkStart w:id="0" w:name="_GoBack"/>
          <w:bookmarkEnd w:id="0"/>
          <w:r w:rsidR="001B012F">
            <w:rPr>
              <w:sz w:val="20"/>
            </w:rPr>
            <w:t>.03.2025</w:t>
          </w:r>
        </w:p>
      </w:tc>
      <w:tc>
        <w:tcPr>
          <w:tcW w:w="1559" w:type="dxa"/>
          <w:vMerge/>
          <w:tcBorders>
            <w:top w:val="nil"/>
          </w:tcBorders>
        </w:tcPr>
        <w:p w14:paraId="2BE34B4E" w14:textId="77777777" w:rsidR="001B012F" w:rsidRDefault="001B012F" w:rsidP="001B012F">
          <w:pPr>
            <w:rPr>
              <w:sz w:val="2"/>
              <w:szCs w:val="2"/>
            </w:rPr>
          </w:pPr>
        </w:p>
      </w:tc>
    </w:tr>
    <w:tr w:rsidR="001B012F" w14:paraId="062D1A6D" w14:textId="77777777" w:rsidTr="0020670D">
      <w:trPr>
        <w:trHeight w:val="260"/>
      </w:trPr>
      <w:tc>
        <w:tcPr>
          <w:tcW w:w="1560" w:type="dxa"/>
          <w:vMerge/>
          <w:tcBorders>
            <w:top w:val="nil"/>
          </w:tcBorders>
        </w:tcPr>
        <w:p w14:paraId="4DBF3281" w14:textId="42ED0AB2" w:rsidR="001B012F" w:rsidRDefault="001B012F" w:rsidP="001B012F">
          <w:pPr>
            <w:rPr>
              <w:sz w:val="2"/>
              <w:szCs w:val="2"/>
            </w:rPr>
          </w:pPr>
        </w:p>
      </w:tc>
      <w:tc>
        <w:tcPr>
          <w:tcW w:w="4819" w:type="dxa"/>
          <w:vMerge/>
          <w:tcBorders>
            <w:top w:val="nil"/>
          </w:tcBorders>
        </w:tcPr>
        <w:p w14:paraId="3B016B23" w14:textId="77777777" w:rsidR="001B012F" w:rsidRDefault="001B012F" w:rsidP="001B012F">
          <w:pPr>
            <w:rPr>
              <w:sz w:val="2"/>
              <w:szCs w:val="2"/>
            </w:rPr>
          </w:pPr>
        </w:p>
      </w:tc>
      <w:tc>
        <w:tcPr>
          <w:tcW w:w="1559" w:type="dxa"/>
        </w:tcPr>
        <w:p w14:paraId="4077E340" w14:textId="77777777" w:rsidR="001B012F" w:rsidRDefault="001B012F" w:rsidP="001B012F">
          <w:pPr>
            <w:pStyle w:val="TableParagraph"/>
            <w:spacing w:before="9"/>
            <w:ind w:left="112" w:right="88"/>
            <w:jc w:val="both"/>
            <w:rPr>
              <w:sz w:val="20"/>
            </w:rPr>
          </w:pPr>
          <w:r>
            <w:rPr>
              <w:sz w:val="20"/>
            </w:rPr>
            <w:t>Revizyon</w:t>
          </w:r>
          <w:r>
            <w:rPr>
              <w:spacing w:val="-5"/>
              <w:sz w:val="20"/>
            </w:rPr>
            <w:t xml:space="preserve"> </w:t>
          </w:r>
          <w:r>
            <w:rPr>
              <w:sz w:val="20"/>
            </w:rPr>
            <w:t>Tarihi</w:t>
          </w:r>
        </w:p>
      </w:tc>
      <w:tc>
        <w:tcPr>
          <w:tcW w:w="1418" w:type="dxa"/>
        </w:tcPr>
        <w:p w14:paraId="5255D74E" w14:textId="77777777" w:rsidR="001B012F" w:rsidRDefault="001B012F" w:rsidP="001B012F">
          <w:pPr>
            <w:pStyle w:val="TableParagraph"/>
            <w:spacing w:before="9"/>
            <w:ind w:left="140" w:right="114"/>
            <w:jc w:val="center"/>
            <w:rPr>
              <w:sz w:val="20"/>
            </w:rPr>
          </w:pPr>
          <w:r>
            <w:rPr>
              <w:sz w:val="20"/>
            </w:rPr>
            <w:t>-</w:t>
          </w:r>
        </w:p>
      </w:tc>
      <w:tc>
        <w:tcPr>
          <w:tcW w:w="1559" w:type="dxa"/>
          <w:vMerge/>
          <w:tcBorders>
            <w:top w:val="nil"/>
          </w:tcBorders>
        </w:tcPr>
        <w:p w14:paraId="4231A8FF" w14:textId="77777777" w:rsidR="001B012F" w:rsidRDefault="001B012F" w:rsidP="001B012F">
          <w:pPr>
            <w:rPr>
              <w:sz w:val="2"/>
              <w:szCs w:val="2"/>
            </w:rPr>
          </w:pPr>
        </w:p>
      </w:tc>
    </w:tr>
    <w:tr w:rsidR="001B012F" w14:paraId="599B102D" w14:textId="77777777" w:rsidTr="0020670D">
      <w:trPr>
        <w:trHeight w:val="270"/>
      </w:trPr>
      <w:tc>
        <w:tcPr>
          <w:tcW w:w="1560" w:type="dxa"/>
          <w:vMerge/>
          <w:tcBorders>
            <w:top w:val="nil"/>
          </w:tcBorders>
        </w:tcPr>
        <w:p w14:paraId="0B5B8EA2" w14:textId="77777777" w:rsidR="001B012F" w:rsidRDefault="001B012F" w:rsidP="001B012F">
          <w:pPr>
            <w:rPr>
              <w:sz w:val="2"/>
              <w:szCs w:val="2"/>
            </w:rPr>
          </w:pPr>
        </w:p>
      </w:tc>
      <w:tc>
        <w:tcPr>
          <w:tcW w:w="4819" w:type="dxa"/>
          <w:vMerge/>
          <w:tcBorders>
            <w:top w:val="nil"/>
          </w:tcBorders>
        </w:tcPr>
        <w:p w14:paraId="527B97D2" w14:textId="77777777" w:rsidR="001B012F" w:rsidRDefault="001B012F" w:rsidP="001B012F">
          <w:pPr>
            <w:rPr>
              <w:sz w:val="2"/>
              <w:szCs w:val="2"/>
            </w:rPr>
          </w:pPr>
        </w:p>
      </w:tc>
      <w:tc>
        <w:tcPr>
          <w:tcW w:w="1559" w:type="dxa"/>
        </w:tcPr>
        <w:p w14:paraId="6A7C2B41" w14:textId="77777777" w:rsidR="001B012F" w:rsidRDefault="001B012F" w:rsidP="001B012F">
          <w:pPr>
            <w:pStyle w:val="TableParagraph"/>
            <w:spacing w:before="14"/>
            <w:ind w:left="110" w:right="88"/>
            <w:jc w:val="both"/>
            <w:rPr>
              <w:sz w:val="20"/>
            </w:rPr>
          </w:pPr>
          <w:r>
            <w:rPr>
              <w:sz w:val="20"/>
            </w:rPr>
            <w:t>Revizyon</w:t>
          </w:r>
          <w:r>
            <w:rPr>
              <w:spacing w:val="-4"/>
              <w:sz w:val="20"/>
            </w:rPr>
            <w:t xml:space="preserve"> </w:t>
          </w:r>
          <w:r>
            <w:rPr>
              <w:sz w:val="20"/>
            </w:rPr>
            <w:t>No</w:t>
          </w:r>
        </w:p>
      </w:tc>
      <w:tc>
        <w:tcPr>
          <w:tcW w:w="1418" w:type="dxa"/>
        </w:tcPr>
        <w:p w14:paraId="38943FE5" w14:textId="77777777" w:rsidR="001B012F" w:rsidRDefault="001B012F" w:rsidP="001B012F">
          <w:pPr>
            <w:pStyle w:val="TableParagraph"/>
            <w:spacing w:before="14"/>
            <w:ind w:left="140" w:right="114"/>
            <w:jc w:val="center"/>
            <w:rPr>
              <w:sz w:val="20"/>
            </w:rPr>
          </w:pPr>
          <w:r>
            <w:rPr>
              <w:sz w:val="20"/>
            </w:rPr>
            <w:t>00</w:t>
          </w:r>
        </w:p>
      </w:tc>
      <w:tc>
        <w:tcPr>
          <w:tcW w:w="1559" w:type="dxa"/>
          <w:vMerge/>
          <w:tcBorders>
            <w:top w:val="nil"/>
          </w:tcBorders>
        </w:tcPr>
        <w:p w14:paraId="2A640185" w14:textId="77777777" w:rsidR="001B012F" w:rsidRDefault="001B012F" w:rsidP="001B012F">
          <w:pPr>
            <w:rPr>
              <w:sz w:val="2"/>
              <w:szCs w:val="2"/>
            </w:rPr>
          </w:pPr>
        </w:p>
      </w:tc>
    </w:tr>
    <w:tr w:rsidR="001B012F" w14:paraId="093FFE0F" w14:textId="77777777" w:rsidTr="0020670D">
      <w:trPr>
        <w:trHeight w:val="260"/>
      </w:trPr>
      <w:tc>
        <w:tcPr>
          <w:tcW w:w="1560" w:type="dxa"/>
          <w:vMerge/>
          <w:tcBorders>
            <w:top w:val="nil"/>
          </w:tcBorders>
        </w:tcPr>
        <w:p w14:paraId="2CC8656A" w14:textId="77777777" w:rsidR="001B012F" w:rsidRDefault="001B012F" w:rsidP="001B012F">
          <w:pPr>
            <w:rPr>
              <w:sz w:val="2"/>
              <w:szCs w:val="2"/>
            </w:rPr>
          </w:pPr>
        </w:p>
      </w:tc>
      <w:tc>
        <w:tcPr>
          <w:tcW w:w="4819" w:type="dxa"/>
          <w:vMerge/>
          <w:tcBorders>
            <w:top w:val="nil"/>
          </w:tcBorders>
        </w:tcPr>
        <w:p w14:paraId="1EE76FE6" w14:textId="77777777" w:rsidR="001B012F" w:rsidRDefault="001B012F" w:rsidP="001B012F">
          <w:pPr>
            <w:rPr>
              <w:sz w:val="2"/>
              <w:szCs w:val="2"/>
            </w:rPr>
          </w:pPr>
        </w:p>
      </w:tc>
      <w:tc>
        <w:tcPr>
          <w:tcW w:w="1559" w:type="dxa"/>
        </w:tcPr>
        <w:p w14:paraId="2FBC7C9C" w14:textId="77777777" w:rsidR="001B012F" w:rsidRDefault="001B012F" w:rsidP="001B012F">
          <w:pPr>
            <w:pStyle w:val="TableParagraph"/>
            <w:spacing w:before="7"/>
            <w:ind w:left="112" w:right="87"/>
            <w:jc w:val="both"/>
            <w:rPr>
              <w:sz w:val="20"/>
            </w:rPr>
          </w:pPr>
          <w:r>
            <w:rPr>
              <w:sz w:val="20"/>
            </w:rPr>
            <w:t>Sayfa</w:t>
          </w:r>
          <w:r>
            <w:rPr>
              <w:spacing w:val="-3"/>
              <w:sz w:val="20"/>
            </w:rPr>
            <w:t xml:space="preserve"> </w:t>
          </w:r>
          <w:r>
            <w:rPr>
              <w:sz w:val="20"/>
            </w:rPr>
            <w:t>No</w:t>
          </w:r>
        </w:p>
      </w:tc>
      <w:tc>
        <w:tcPr>
          <w:tcW w:w="1418" w:type="dxa"/>
        </w:tcPr>
        <w:p w14:paraId="6D052D08" w14:textId="77777777" w:rsidR="001B012F" w:rsidRDefault="001B012F" w:rsidP="001B012F">
          <w:pPr>
            <w:pStyle w:val="TableParagraph"/>
            <w:spacing w:before="7"/>
            <w:ind w:left="139" w:right="117"/>
            <w:jc w:val="center"/>
            <w:rPr>
              <w:sz w:val="20"/>
            </w:rPr>
          </w:pPr>
          <w:r>
            <w:rPr>
              <w:sz w:val="20"/>
            </w:rPr>
            <w:t>1</w:t>
          </w:r>
        </w:p>
      </w:tc>
      <w:tc>
        <w:tcPr>
          <w:tcW w:w="1559" w:type="dxa"/>
          <w:vMerge/>
          <w:tcBorders>
            <w:top w:val="nil"/>
          </w:tcBorders>
        </w:tcPr>
        <w:p w14:paraId="7A9D8D3B" w14:textId="77777777" w:rsidR="001B012F" w:rsidRDefault="001B012F" w:rsidP="001B012F">
          <w:pPr>
            <w:rPr>
              <w:sz w:val="2"/>
              <w:szCs w:val="2"/>
            </w:rPr>
          </w:pPr>
        </w:p>
      </w:tc>
    </w:tr>
  </w:tbl>
  <w:p w14:paraId="0646B4EF" w14:textId="4F7C1EC7" w:rsidR="00820ABE" w:rsidRDefault="00820ABE">
    <w:pPr>
      <w:pStyle w:val="stBilgi"/>
    </w:pPr>
    <w:r>
      <w:rPr>
        <w:noProof/>
        <w:lang w:eastAsia="tr-TR"/>
      </w:rPr>
      <w:drawing>
        <wp:anchor distT="0" distB="0" distL="0" distR="0" simplePos="0" relativeHeight="251659264" behindDoc="1" locked="0" layoutInCell="1" allowOverlap="1" wp14:anchorId="67B5A443" wp14:editId="3F6F6C83">
          <wp:simplePos x="0" y="0"/>
          <wp:positionH relativeFrom="margin">
            <wp:posOffset>-198120</wp:posOffset>
          </wp:positionH>
          <wp:positionV relativeFrom="page">
            <wp:posOffset>-34925</wp:posOffset>
          </wp:positionV>
          <wp:extent cx="7632000" cy="10224000"/>
          <wp:effectExtent l="0" t="0" r="7620" b="6350"/>
          <wp:wrapNone/>
          <wp:docPr id="26" name="image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2" cstate="print"/>
                  <a:stretch>
                    <a:fillRect/>
                  </a:stretch>
                </pic:blipFill>
                <pic:spPr>
                  <a:xfrm>
                    <a:off x="0" y="0"/>
                    <a:ext cx="7632000" cy="10224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FDEAE1" w14:textId="77777777" w:rsidR="0020670D" w:rsidRDefault="0020670D">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41E54"/>
    <w:multiLevelType w:val="hybridMultilevel"/>
    <w:tmpl w:val="6AFE0E4C"/>
    <w:lvl w:ilvl="0" w:tplc="DCE00EAC">
      <w:start w:val="1"/>
      <w:numFmt w:val="decimal"/>
      <w:lvlText w:val="%1."/>
      <w:lvlJc w:val="left"/>
      <w:pPr>
        <w:ind w:left="815" w:hanging="348"/>
      </w:pPr>
      <w:rPr>
        <w:rFonts w:ascii="Times New Roman" w:eastAsia="Times New Roman" w:hAnsi="Times New Roman" w:cs="Times New Roman" w:hint="default"/>
        <w:w w:val="100"/>
        <w:sz w:val="24"/>
        <w:szCs w:val="24"/>
        <w:lang w:val="tr-TR" w:eastAsia="en-US" w:bidi="ar-SA"/>
      </w:rPr>
    </w:lvl>
    <w:lvl w:ilvl="1" w:tplc="35AE9FD0">
      <w:numFmt w:val="bullet"/>
      <w:lvlText w:val="•"/>
      <w:lvlJc w:val="left"/>
      <w:pPr>
        <w:ind w:left="1665" w:hanging="348"/>
      </w:pPr>
      <w:rPr>
        <w:rFonts w:hint="default"/>
        <w:lang w:val="tr-TR" w:eastAsia="en-US" w:bidi="ar-SA"/>
      </w:rPr>
    </w:lvl>
    <w:lvl w:ilvl="2" w:tplc="94867128">
      <w:numFmt w:val="bullet"/>
      <w:lvlText w:val="•"/>
      <w:lvlJc w:val="left"/>
      <w:pPr>
        <w:ind w:left="2511" w:hanging="348"/>
      </w:pPr>
      <w:rPr>
        <w:rFonts w:hint="default"/>
        <w:lang w:val="tr-TR" w:eastAsia="en-US" w:bidi="ar-SA"/>
      </w:rPr>
    </w:lvl>
    <w:lvl w:ilvl="3" w:tplc="82C098CE">
      <w:numFmt w:val="bullet"/>
      <w:lvlText w:val="•"/>
      <w:lvlJc w:val="left"/>
      <w:pPr>
        <w:ind w:left="3356" w:hanging="348"/>
      </w:pPr>
      <w:rPr>
        <w:rFonts w:hint="default"/>
        <w:lang w:val="tr-TR" w:eastAsia="en-US" w:bidi="ar-SA"/>
      </w:rPr>
    </w:lvl>
    <w:lvl w:ilvl="4" w:tplc="AA36441C">
      <w:numFmt w:val="bullet"/>
      <w:lvlText w:val="•"/>
      <w:lvlJc w:val="left"/>
      <w:pPr>
        <w:ind w:left="4202" w:hanging="348"/>
      </w:pPr>
      <w:rPr>
        <w:rFonts w:hint="default"/>
        <w:lang w:val="tr-TR" w:eastAsia="en-US" w:bidi="ar-SA"/>
      </w:rPr>
    </w:lvl>
    <w:lvl w:ilvl="5" w:tplc="44A4A844">
      <w:numFmt w:val="bullet"/>
      <w:lvlText w:val="•"/>
      <w:lvlJc w:val="left"/>
      <w:pPr>
        <w:ind w:left="5048" w:hanging="348"/>
      </w:pPr>
      <w:rPr>
        <w:rFonts w:hint="default"/>
        <w:lang w:val="tr-TR" w:eastAsia="en-US" w:bidi="ar-SA"/>
      </w:rPr>
    </w:lvl>
    <w:lvl w:ilvl="6" w:tplc="B6B0EB4A">
      <w:numFmt w:val="bullet"/>
      <w:lvlText w:val="•"/>
      <w:lvlJc w:val="left"/>
      <w:pPr>
        <w:ind w:left="5893" w:hanging="348"/>
      </w:pPr>
      <w:rPr>
        <w:rFonts w:hint="default"/>
        <w:lang w:val="tr-TR" w:eastAsia="en-US" w:bidi="ar-SA"/>
      </w:rPr>
    </w:lvl>
    <w:lvl w:ilvl="7" w:tplc="313E60E6">
      <w:numFmt w:val="bullet"/>
      <w:lvlText w:val="•"/>
      <w:lvlJc w:val="left"/>
      <w:pPr>
        <w:ind w:left="6739" w:hanging="348"/>
      </w:pPr>
      <w:rPr>
        <w:rFonts w:hint="default"/>
        <w:lang w:val="tr-TR" w:eastAsia="en-US" w:bidi="ar-SA"/>
      </w:rPr>
    </w:lvl>
    <w:lvl w:ilvl="8" w:tplc="D0F61BC8">
      <w:numFmt w:val="bullet"/>
      <w:lvlText w:val="•"/>
      <w:lvlJc w:val="left"/>
      <w:pPr>
        <w:ind w:left="7584" w:hanging="348"/>
      </w:pPr>
      <w:rPr>
        <w:rFonts w:hint="default"/>
        <w:lang w:val="tr-TR" w:eastAsia="en-US" w:bidi="ar-SA"/>
      </w:rPr>
    </w:lvl>
  </w:abstractNum>
  <w:abstractNum w:abstractNumId="1" w15:restartNumberingAfterBreak="0">
    <w:nsid w:val="0A6613BD"/>
    <w:multiLevelType w:val="hybridMultilevel"/>
    <w:tmpl w:val="2B5E351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D434F3C"/>
    <w:multiLevelType w:val="hybridMultilevel"/>
    <w:tmpl w:val="EA5ED162"/>
    <w:lvl w:ilvl="0" w:tplc="407099EA">
      <w:start w:val="12"/>
      <w:numFmt w:val="decimal"/>
      <w:lvlText w:val="%1."/>
      <w:lvlJc w:val="left"/>
      <w:pPr>
        <w:ind w:left="815" w:hanging="348"/>
      </w:pPr>
      <w:rPr>
        <w:rFonts w:hint="default"/>
        <w:w w:val="100"/>
        <w:lang w:val="tr-TR" w:eastAsia="en-US" w:bidi="ar-SA"/>
      </w:rPr>
    </w:lvl>
    <w:lvl w:ilvl="1" w:tplc="3AAC6310">
      <w:numFmt w:val="bullet"/>
      <w:lvlText w:val="•"/>
      <w:lvlJc w:val="left"/>
      <w:pPr>
        <w:ind w:left="1665" w:hanging="348"/>
      </w:pPr>
      <w:rPr>
        <w:rFonts w:hint="default"/>
        <w:lang w:val="tr-TR" w:eastAsia="en-US" w:bidi="ar-SA"/>
      </w:rPr>
    </w:lvl>
    <w:lvl w:ilvl="2" w:tplc="E0CA2BEE">
      <w:numFmt w:val="bullet"/>
      <w:lvlText w:val="•"/>
      <w:lvlJc w:val="left"/>
      <w:pPr>
        <w:ind w:left="2511" w:hanging="348"/>
      </w:pPr>
      <w:rPr>
        <w:rFonts w:hint="default"/>
        <w:lang w:val="tr-TR" w:eastAsia="en-US" w:bidi="ar-SA"/>
      </w:rPr>
    </w:lvl>
    <w:lvl w:ilvl="3" w:tplc="AC32894C">
      <w:numFmt w:val="bullet"/>
      <w:lvlText w:val="•"/>
      <w:lvlJc w:val="left"/>
      <w:pPr>
        <w:ind w:left="3356" w:hanging="348"/>
      </w:pPr>
      <w:rPr>
        <w:rFonts w:hint="default"/>
        <w:lang w:val="tr-TR" w:eastAsia="en-US" w:bidi="ar-SA"/>
      </w:rPr>
    </w:lvl>
    <w:lvl w:ilvl="4" w:tplc="AB543DD4">
      <w:numFmt w:val="bullet"/>
      <w:lvlText w:val="•"/>
      <w:lvlJc w:val="left"/>
      <w:pPr>
        <w:ind w:left="4202" w:hanging="348"/>
      </w:pPr>
      <w:rPr>
        <w:rFonts w:hint="default"/>
        <w:lang w:val="tr-TR" w:eastAsia="en-US" w:bidi="ar-SA"/>
      </w:rPr>
    </w:lvl>
    <w:lvl w:ilvl="5" w:tplc="58148722">
      <w:numFmt w:val="bullet"/>
      <w:lvlText w:val="•"/>
      <w:lvlJc w:val="left"/>
      <w:pPr>
        <w:ind w:left="5048" w:hanging="348"/>
      </w:pPr>
      <w:rPr>
        <w:rFonts w:hint="default"/>
        <w:lang w:val="tr-TR" w:eastAsia="en-US" w:bidi="ar-SA"/>
      </w:rPr>
    </w:lvl>
    <w:lvl w:ilvl="6" w:tplc="CC6AA508">
      <w:numFmt w:val="bullet"/>
      <w:lvlText w:val="•"/>
      <w:lvlJc w:val="left"/>
      <w:pPr>
        <w:ind w:left="5893" w:hanging="348"/>
      </w:pPr>
      <w:rPr>
        <w:rFonts w:hint="default"/>
        <w:lang w:val="tr-TR" w:eastAsia="en-US" w:bidi="ar-SA"/>
      </w:rPr>
    </w:lvl>
    <w:lvl w:ilvl="7" w:tplc="BEB6DA6C">
      <w:numFmt w:val="bullet"/>
      <w:lvlText w:val="•"/>
      <w:lvlJc w:val="left"/>
      <w:pPr>
        <w:ind w:left="6739" w:hanging="348"/>
      </w:pPr>
      <w:rPr>
        <w:rFonts w:hint="default"/>
        <w:lang w:val="tr-TR" w:eastAsia="en-US" w:bidi="ar-SA"/>
      </w:rPr>
    </w:lvl>
    <w:lvl w:ilvl="8" w:tplc="0E2CEA06">
      <w:numFmt w:val="bullet"/>
      <w:lvlText w:val="•"/>
      <w:lvlJc w:val="left"/>
      <w:pPr>
        <w:ind w:left="7584" w:hanging="348"/>
      </w:pPr>
      <w:rPr>
        <w:rFonts w:hint="default"/>
        <w:lang w:val="tr-TR" w:eastAsia="en-US" w:bidi="ar-SA"/>
      </w:rPr>
    </w:lvl>
  </w:abstractNum>
  <w:abstractNum w:abstractNumId="3" w15:restartNumberingAfterBreak="0">
    <w:nsid w:val="22EF65AF"/>
    <w:multiLevelType w:val="hybridMultilevel"/>
    <w:tmpl w:val="DDFA6184"/>
    <w:lvl w:ilvl="0" w:tplc="6E0AFCF2">
      <w:start w:val="1"/>
      <mc:AlternateContent>
        <mc:Choice Requires="w14">
          <w:numFmt w:val="custom" w:format="a, ç, ĝ, ..."/>
        </mc:Choice>
        <mc:Fallback>
          <w:numFmt w:val="decimal"/>
        </mc:Fallback>
      </mc:AlternateContent>
      <w:lvlText w:val="%1)"/>
      <w:lvlJc w:val="left"/>
      <w:pPr>
        <w:ind w:left="827" w:hanging="360"/>
      </w:pPr>
      <w:rPr>
        <w:rFonts w:hint="default"/>
        <w:b w:val="0"/>
      </w:rPr>
    </w:lvl>
    <w:lvl w:ilvl="1" w:tplc="041F0019" w:tentative="1">
      <w:start w:val="1"/>
      <w:numFmt w:val="lowerLetter"/>
      <w:lvlText w:val="%2."/>
      <w:lvlJc w:val="left"/>
      <w:pPr>
        <w:ind w:left="1547" w:hanging="360"/>
      </w:pPr>
    </w:lvl>
    <w:lvl w:ilvl="2" w:tplc="041F001B" w:tentative="1">
      <w:start w:val="1"/>
      <w:numFmt w:val="lowerRoman"/>
      <w:lvlText w:val="%3."/>
      <w:lvlJc w:val="right"/>
      <w:pPr>
        <w:ind w:left="2267" w:hanging="180"/>
      </w:pPr>
    </w:lvl>
    <w:lvl w:ilvl="3" w:tplc="041F000F" w:tentative="1">
      <w:start w:val="1"/>
      <w:numFmt w:val="decimal"/>
      <w:lvlText w:val="%4."/>
      <w:lvlJc w:val="left"/>
      <w:pPr>
        <w:ind w:left="2987" w:hanging="360"/>
      </w:pPr>
    </w:lvl>
    <w:lvl w:ilvl="4" w:tplc="041F0019" w:tentative="1">
      <w:start w:val="1"/>
      <w:numFmt w:val="lowerLetter"/>
      <w:lvlText w:val="%5."/>
      <w:lvlJc w:val="left"/>
      <w:pPr>
        <w:ind w:left="3707" w:hanging="360"/>
      </w:pPr>
    </w:lvl>
    <w:lvl w:ilvl="5" w:tplc="041F001B" w:tentative="1">
      <w:start w:val="1"/>
      <w:numFmt w:val="lowerRoman"/>
      <w:lvlText w:val="%6."/>
      <w:lvlJc w:val="right"/>
      <w:pPr>
        <w:ind w:left="4427" w:hanging="180"/>
      </w:pPr>
    </w:lvl>
    <w:lvl w:ilvl="6" w:tplc="041F000F" w:tentative="1">
      <w:start w:val="1"/>
      <w:numFmt w:val="decimal"/>
      <w:lvlText w:val="%7."/>
      <w:lvlJc w:val="left"/>
      <w:pPr>
        <w:ind w:left="5147" w:hanging="360"/>
      </w:pPr>
    </w:lvl>
    <w:lvl w:ilvl="7" w:tplc="041F0019" w:tentative="1">
      <w:start w:val="1"/>
      <w:numFmt w:val="lowerLetter"/>
      <w:lvlText w:val="%8."/>
      <w:lvlJc w:val="left"/>
      <w:pPr>
        <w:ind w:left="5867" w:hanging="360"/>
      </w:pPr>
    </w:lvl>
    <w:lvl w:ilvl="8" w:tplc="041F001B" w:tentative="1">
      <w:start w:val="1"/>
      <w:numFmt w:val="lowerRoman"/>
      <w:lvlText w:val="%9."/>
      <w:lvlJc w:val="right"/>
      <w:pPr>
        <w:ind w:left="6587" w:hanging="180"/>
      </w:pPr>
    </w:lvl>
  </w:abstractNum>
  <w:abstractNum w:abstractNumId="4" w15:restartNumberingAfterBreak="0">
    <w:nsid w:val="234259B9"/>
    <w:multiLevelType w:val="hybridMultilevel"/>
    <w:tmpl w:val="6F0EFF6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4DB96FEB"/>
    <w:multiLevelType w:val="hybridMultilevel"/>
    <w:tmpl w:val="D390F592"/>
    <w:lvl w:ilvl="0" w:tplc="041F000D">
      <w:start w:val="1"/>
      <w:numFmt w:val="bullet"/>
      <w:lvlText w:val=""/>
      <w:lvlJc w:val="left"/>
      <w:pPr>
        <w:ind w:left="783" w:hanging="360"/>
      </w:pPr>
      <w:rPr>
        <w:rFonts w:ascii="Wingdings" w:hAnsi="Wingdings" w:hint="default"/>
      </w:rPr>
    </w:lvl>
    <w:lvl w:ilvl="1" w:tplc="041F0003" w:tentative="1">
      <w:start w:val="1"/>
      <w:numFmt w:val="bullet"/>
      <w:lvlText w:val="o"/>
      <w:lvlJc w:val="left"/>
      <w:pPr>
        <w:ind w:left="1503" w:hanging="360"/>
      </w:pPr>
      <w:rPr>
        <w:rFonts w:ascii="Courier New" w:hAnsi="Courier New" w:cs="Courier New" w:hint="default"/>
      </w:rPr>
    </w:lvl>
    <w:lvl w:ilvl="2" w:tplc="041F0005" w:tentative="1">
      <w:start w:val="1"/>
      <w:numFmt w:val="bullet"/>
      <w:lvlText w:val=""/>
      <w:lvlJc w:val="left"/>
      <w:pPr>
        <w:ind w:left="2223" w:hanging="360"/>
      </w:pPr>
      <w:rPr>
        <w:rFonts w:ascii="Wingdings" w:hAnsi="Wingdings" w:hint="default"/>
      </w:rPr>
    </w:lvl>
    <w:lvl w:ilvl="3" w:tplc="041F0001" w:tentative="1">
      <w:start w:val="1"/>
      <w:numFmt w:val="bullet"/>
      <w:lvlText w:val=""/>
      <w:lvlJc w:val="left"/>
      <w:pPr>
        <w:ind w:left="2943" w:hanging="360"/>
      </w:pPr>
      <w:rPr>
        <w:rFonts w:ascii="Symbol" w:hAnsi="Symbol" w:hint="default"/>
      </w:rPr>
    </w:lvl>
    <w:lvl w:ilvl="4" w:tplc="041F0003" w:tentative="1">
      <w:start w:val="1"/>
      <w:numFmt w:val="bullet"/>
      <w:lvlText w:val="o"/>
      <w:lvlJc w:val="left"/>
      <w:pPr>
        <w:ind w:left="3663" w:hanging="360"/>
      </w:pPr>
      <w:rPr>
        <w:rFonts w:ascii="Courier New" w:hAnsi="Courier New" w:cs="Courier New" w:hint="default"/>
      </w:rPr>
    </w:lvl>
    <w:lvl w:ilvl="5" w:tplc="041F0005" w:tentative="1">
      <w:start w:val="1"/>
      <w:numFmt w:val="bullet"/>
      <w:lvlText w:val=""/>
      <w:lvlJc w:val="left"/>
      <w:pPr>
        <w:ind w:left="4383" w:hanging="360"/>
      </w:pPr>
      <w:rPr>
        <w:rFonts w:ascii="Wingdings" w:hAnsi="Wingdings" w:hint="default"/>
      </w:rPr>
    </w:lvl>
    <w:lvl w:ilvl="6" w:tplc="041F0001" w:tentative="1">
      <w:start w:val="1"/>
      <w:numFmt w:val="bullet"/>
      <w:lvlText w:val=""/>
      <w:lvlJc w:val="left"/>
      <w:pPr>
        <w:ind w:left="5103" w:hanging="360"/>
      </w:pPr>
      <w:rPr>
        <w:rFonts w:ascii="Symbol" w:hAnsi="Symbol" w:hint="default"/>
      </w:rPr>
    </w:lvl>
    <w:lvl w:ilvl="7" w:tplc="041F0003" w:tentative="1">
      <w:start w:val="1"/>
      <w:numFmt w:val="bullet"/>
      <w:lvlText w:val="o"/>
      <w:lvlJc w:val="left"/>
      <w:pPr>
        <w:ind w:left="5823" w:hanging="360"/>
      </w:pPr>
      <w:rPr>
        <w:rFonts w:ascii="Courier New" w:hAnsi="Courier New" w:cs="Courier New" w:hint="default"/>
      </w:rPr>
    </w:lvl>
    <w:lvl w:ilvl="8" w:tplc="041F0005" w:tentative="1">
      <w:start w:val="1"/>
      <w:numFmt w:val="bullet"/>
      <w:lvlText w:val=""/>
      <w:lvlJc w:val="left"/>
      <w:pPr>
        <w:ind w:left="6543" w:hanging="360"/>
      </w:pPr>
      <w:rPr>
        <w:rFonts w:ascii="Wingdings" w:hAnsi="Wingdings" w:hint="default"/>
      </w:rPr>
    </w:lvl>
  </w:abstractNum>
  <w:abstractNum w:abstractNumId="6" w15:restartNumberingAfterBreak="0">
    <w:nsid w:val="5D821164"/>
    <w:multiLevelType w:val="hybridMultilevel"/>
    <w:tmpl w:val="D27EC476"/>
    <w:lvl w:ilvl="0" w:tplc="9B7A2ACA">
      <w:start w:val="1"/>
      <w:numFmt w:val="decimal"/>
      <w:lvlText w:val="%1."/>
      <w:lvlJc w:val="left"/>
      <w:pPr>
        <w:ind w:left="827" w:hanging="348"/>
      </w:pPr>
      <w:rPr>
        <w:rFonts w:hint="default"/>
        <w:w w:val="100"/>
        <w:lang w:val="tr-TR" w:eastAsia="en-US" w:bidi="ar-SA"/>
      </w:rPr>
    </w:lvl>
    <w:lvl w:ilvl="1" w:tplc="F7D67A24">
      <w:numFmt w:val="bullet"/>
      <w:lvlText w:val="•"/>
      <w:lvlJc w:val="left"/>
      <w:pPr>
        <w:ind w:left="1665" w:hanging="348"/>
      </w:pPr>
      <w:rPr>
        <w:rFonts w:hint="default"/>
        <w:lang w:val="tr-TR" w:eastAsia="en-US" w:bidi="ar-SA"/>
      </w:rPr>
    </w:lvl>
    <w:lvl w:ilvl="2" w:tplc="4AC85864">
      <w:numFmt w:val="bullet"/>
      <w:lvlText w:val="•"/>
      <w:lvlJc w:val="left"/>
      <w:pPr>
        <w:ind w:left="2511" w:hanging="348"/>
      </w:pPr>
      <w:rPr>
        <w:rFonts w:hint="default"/>
        <w:lang w:val="tr-TR" w:eastAsia="en-US" w:bidi="ar-SA"/>
      </w:rPr>
    </w:lvl>
    <w:lvl w:ilvl="3" w:tplc="4566B4FC">
      <w:numFmt w:val="bullet"/>
      <w:lvlText w:val="•"/>
      <w:lvlJc w:val="left"/>
      <w:pPr>
        <w:ind w:left="3356" w:hanging="348"/>
      </w:pPr>
      <w:rPr>
        <w:rFonts w:hint="default"/>
        <w:lang w:val="tr-TR" w:eastAsia="en-US" w:bidi="ar-SA"/>
      </w:rPr>
    </w:lvl>
    <w:lvl w:ilvl="4" w:tplc="A2926B88">
      <w:numFmt w:val="bullet"/>
      <w:lvlText w:val="•"/>
      <w:lvlJc w:val="left"/>
      <w:pPr>
        <w:ind w:left="4202" w:hanging="348"/>
      </w:pPr>
      <w:rPr>
        <w:rFonts w:hint="default"/>
        <w:lang w:val="tr-TR" w:eastAsia="en-US" w:bidi="ar-SA"/>
      </w:rPr>
    </w:lvl>
    <w:lvl w:ilvl="5" w:tplc="CD1C2242">
      <w:numFmt w:val="bullet"/>
      <w:lvlText w:val="•"/>
      <w:lvlJc w:val="left"/>
      <w:pPr>
        <w:ind w:left="5048" w:hanging="348"/>
      </w:pPr>
      <w:rPr>
        <w:rFonts w:hint="default"/>
        <w:lang w:val="tr-TR" w:eastAsia="en-US" w:bidi="ar-SA"/>
      </w:rPr>
    </w:lvl>
    <w:lvl w:ilvl="6" w:tplc="86B662F4">
      <w:numFmt w:val="bullet"/>
      <w:lvlText w:val="•"/>
      <w:lvlJc w:val="left"/>
      <w:pPr>
        <w:ind w:left="5893" w:hanging="348"/>
      </w:pPr>
      <w:rPr>
        <w:rFonts w:hint="default"/>
        <w:lang w:val="tr-TR" w:eastAsia="en-US" w:bidi="ar-SA"/>
      </w:rPr>
    </w:lvl>
    <w:lvl w:ilvl="7" w:tplc="C75CAA86">
      <w:numFmt w:val="bullet"/>
      <w:lvlText w:val="•"/>
      <w:lvlJc w:val="left"/>
      <w:pPr>
        <w:ind w:left="6739" w:hanging="348"/>
      </w:pPr>
      <w:rPr>
        <w:rFonts w:hint="default"/>
        <w:lang w:val="tr-TR" w:eastAsia="en-US" w:bidi="ar-SA"/>
      </w:rPr>
    </w:lvl>
    <w:lvl w:ilvl="8" w:tplc="46AE0FEA">
      <w:numFmt w:val="bullet"/>
      <w:lvlText w:val="•"/>
      <w:lvlJc w:val="left"/>
      <w:pPr>
        <w:ind w:left="7584" w:hanging="348"/>
      </w:pPr>
      <w:rPr>
        <w:rFonts w:hint="default"/>
        <w:lang w:val="tr-TR" w:eastAsia="en-US" w:bidi="ar-SA"/>
      </w:rPr>
    </w:lvl>
  </w:abstractNum>
  <w:num w:numId="1">
    <w:abstractNumId w:val="6"/>
  </w:num>
  <w:num w:numId="2">
    <w:abstractNumId w:val="2"/>
  </w:num>
  <w:num w:numId="3">
    <w:abstractNumId w:val="0"/>
  </w:num>
  <w:num w:numId="4">
    <w:abstractNumId w:val="4"/>
  </w:num>
  <w:num w:numId="5">
    <w:abstractNumId w:val="5"/>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CE9"/>
    <w:rsid w:val="00000A4E"/>
    <w:rsid w:val="000016D4"/>
    <w:rsid w:val="00020282"/>
    <w:rsid w:val="000479A5"/>
    <w:rsid w:val="000C2C03"/>
    <w:rsid w:val="00150778"/>
    <w:rsid w:val="0015614D"/>
    <w:rsid w:val="0019466E"/>
    <w:rsid w:val="001B012F"/>
    <w:rsid w:val="0020670D"/>
    <w:rsid w:val="002306AB"/>
    <w:rsid w:val="002C618A"/>
    <w:rsid w:val="003C00D5"/>
    <w:rsid w:val="003D442B"/>
    <w:rsid w:val="003D5774"/>
    <w:rsid w:val="00497DF4"/>
    <w:rsid w:val="004A45BC"/>
    <w:rsid w:val="004C1F1D"/>
    <w:rsid w:val="00512850"/>
    <w:rsid w:val="00520370"/>
    <w:rsid w:val="00536B4C"/>
    <w:rsid w:val="0057441A"/>
    <w:rsid w:val="005E7C87"/>
    <w:rsid w:val="006D5F91"/>
    <w:rsid w:val="006E4507"/>
    <w:rsid w:val="00711F2E"/>
    <w:rsid w:val="00820ABE"/>
    <w:rsid w:val="008301A2"/>
    <w:rsid w:val="00844C2A"/>
    <w:rsid w:val="00996BB6"/>
    <w:rsid w:val="009A2067"/>
    <w:rsid w:val="009B5101"/>
    <w:rsid w:val="009D149F"/>
    <w:rsid w:val="00A44506"/>
    <w:rsid w:val="00A72364"/>
    <w:rsid w:val="00AA6D52"/>
    <w:rsid w:val="00B905E7"/>
    <w:rsid w:val="00B90C02"/>
    <w:rsid w:val="00B94E83"/>
    <w:rsid w:val="00BA12C5"/>
    <w:rsid w:val="00BC5792"/>
    <w:rsid w:val="00BD157A"/>
    <w:rsid w:val="00BF289B"/>
    <w:rsid w:val="00C34BEC"/>
    <w:rsid w:val="00C41C09"/>
    <w:rsid w:val="00C573EC"/>
    <w:rsid w:val="00C700DE"/>
    <w:rsid w:val="00C81B77"/>
    <w:rsid w:val="00CD4166"/>
    <w:rsid w:val="00CE5373"/>
    <w:rsid w:val="00CF73F1"/>
    <w:rsid w:val="00DA7581"/>
    <w:rsid w:val="00DE4CE9"/>
    <w:rsid w:val="00E735A9"/>
    <w:rsid w:val="00E77926"/>
    <w:rsid w:val="00E77DE4"/>
    <w:rsid w:val="00E82BCE"/>
    <w:rsid w:val="00E85A5D"/>
    <w:rsid w:val="00EE6A6B"/>
    <w:rsid w:val="00EF106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26AB0B"/>
  <w15:docId w15:val="{D2EE5866-AAF0-4F1E-BE95-935CAE284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ListeParagraf">
    <w:name w:val="List Paragraph"/>
    <w:basedOn w:val="Normal"/>
    <w:uiPriority w:val="1"/>
    <w:qFormat/>
  </w:style>
  <w:style w:type="paragraph" w:customStyle="1" w:styleId="TableParagraph">
    <w:name w:val="Table Paragraph"/>
    <w:basedOn w:val="Normal"/>
    <w:uiPriority w:val="1"/>
    <w:qFormat/>
  </w:style>
  <w:style w:type="paragraph" w:styleId="stBilgi">
    <w:name w:val="header"/>
    <w:basedOn w:val="Normal"/>
    <w:link w:val="stBilgiChar"/>
    <w:uiPriority w:val="99"/>
    <w:unhideWhenUsed/>
    <w:rsid w:val="00820ABE"/>
    <w:pPr>
      <w:tabs>
        <w:tab w:val="center" w:pos="4536"/>
        <w:tab w:val="right" w:pos="9072"/>
      </w:tabs>
    </w:pPr>
  </w:style>
  <w:style w:type="character" w:customStyle="1" w:styleId="stBilgiChar">
    <w:name w:val="Üst Bilgi Char"/>
    <w:basedOn w:val="VarsaylanParagrafYazTipi"/>
    <w:link w:val="stBilgi"/>
    <w:uiPriority w:val="99"/>
    <w:rsid w:val="00820ABE"/>
    <w:rPr>
      <w:rFonts w:ascii="Times New Roman" w:eastAsia="Times New Roman" w:hAnsi="Times New Roman" w:cs="Times New Roman"/>
      <w:lang w:val="tr-TR"/>
    </w:rPr>
  </w:style>
  <w:style w:type="paragraph" w:styleId="AltBilgi">
    <w:name w:val="footer"/>
    <w:basedOn w:val="Normal"/>
    <w:link w:val="AltBilgiChar"/>
    <w:uiPriority w:val="99"/>
    <w:unhideWhenUsed/>
    <w:rsid w:val="00820ABE"/>
    <w:pPr>
      <w:tabs>
        <w:tab w:val="center" w:pos="4536"/>
        <w:tab w:val="right" w:pos="9072"/>
      </w:tabs>
    </w:pPr>
  </w:style>
  <w:style w:type="character" w:customStyle="1" w:styleId="AltBilgiChar">
    <w:name w:val="Alt Bilgi Char"/>
    <w:basedOn w:val="VarsaylanParagrafYazTipi"/>
    <w:link w:val="AltBilgi"/>
    <w:uiPriority w:val="99"/>
    <w:rsid w:val="00820ABE"/>
    <w:rPr>
      <w:rFonts w:ascii="Times New Roman" w:eastAsia="Times New Roman" w:hAnsi="Times New Roman" w:cs="Times New Roman"/>
      <w:lang w:val="tr-TR"/>
    </w:rPr>
  </w:style>
  <w:style w:type="table" w:customStyle="1" w:styleId="TableGrid">
    <w:name w:val="TableGrid"/>
    <w:rsid w:val="00E77DE4"/>
    <w:pPr>
      <w:widowControl/>
      <w:autoSpaceDE/>
      <w:autoSpaceDN/>
    </w:pPr>
    <w:rPr>
      <w:rFonts w:eastAsiaTheme="minorEastAsia"/>
      <w:lang w:val="tr-TR" w:eastAsia="tr-TR"/>
    </w:rPr>
    <w:tblPr>
      <w:tblCellMar>
        <w:top w:w="0" w:type="dxa"/>
        <w:left w:w="0" w:type="dxa"/>
        <w:bottom w:w="0" w:type="dxa"/>
        <w:right w:w="0" w:type="dxa"/>
      </w:tblCellMar>
    </w:tblPr>
  </w:style>
  <w:style w:type="table" w:styleId="TabloKlavuzu">
    <w:name w:val="Table Grid"/>
    <w:basedOn w:val="NormalTablo"/>
    <w:rsid w:val="00E77DE4"/>
    <w:pPr>
      <w:widowControl/>
      <w:autoSpaceDE/>
      <w:autoSpaceDN/>
    </w:pPr>
    <w:rPr>
      <w:rFonts w:eastAsiaTheme="minorEastAsia"/>
      <w:lang w:val="tr-TR"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
    <w:name w:val="Tablo Kılavuzu1"/>
    <w:basedOn w:val="NormalTablo"/>
    <w:next w:val="TabloKlavuzu"/>
    <w:uiPriority w:val="59"/>
    <w:rsid w:val="00E77DE4"/>
    <w:pPr>
      <w:suppressAutoHyphens/>
      <w:overflowPunct w:val="0"/>
      <w:autoSpaceDN/>
      <w:jc w:val="both"/>
      <w:textAlignment w:val="baseline"/>
    </w:pPr>
    <w:rPr>
      <w:rFonts w:ascii="Times New Roman" w:eastAsia="Times New Roman" w:hAnsi="Times New Roman" w:cs="Times New Roman"/>
      <w:sz w:val="20"/>
      <w:szCs w:val="20"/>
      <w:lang w:val="tr-TR"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59"/>
    <w:rsid w:val="00B90C02"/>
    <w:pPr>
      <w:suppressAutoHyphens/>
      <w:overflowPunct w:val="0"/>
      <w:autoSpaceDN/>
      <w:jc w:val="both"/>
      <w:textAlignment w:val="baseline"/>
    </w:pPr>
    <w:rPr>
      <w:rFonts w:ascii="Times New Roman" w:eastAsia="Times New Roman" w:hAnsi="Times New Roman" w:cs="Times New Roman"/>
      <w:sz w:val="20"/>
      <w:szCs w:val="20"/>
      <w:lang w:val="tr-TR"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F3F793-9AE8-456E-A5CF-CC4A7626D0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1404</Words>
  <Characters>8006</Characters>
  <Application>Microsoft Office Word</Application>
  <DocSecurity>0</DocSecurity>
  <Lines>66</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Abdullah Singin</dc:creator>
  <cp:lastModifiedBy>Tuğba Yılmaz</cp:lastModifiedBy>
  <cp:revision>7</cp:revision>
  <dcterms:created xsi:type="dcterms:W3CDTF">2025-03-10T10:25:00Z</dcterms:created>
  <dcterms:modified xsi:type="dcterms:W3CDTF">2025-03-12T07:49:00Z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2022-07-21T00:00:00Z</vt:filetime>
  </property>
  <property fmtid="{D5CDD505-2E9C-101B-9397-08002B2CF9AE}" pid="3" name="Creator">
    <vt:lpwstr>Word için Acrobat PDFMaker 19</vt:lpwstr>
  </property>
  <property fmtid="{D5CDD505-2E9C-101B-9397-08002B2CF9AE}" pid="4" name="LastSaved">
    <vt:filetime>2024-11-25T00:00:00Z</vt:filetime>
  </property>
</Properties>
</file>